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926" w:type="dxa"/>
        <w:tblLook w:val="04A0" w:firstRow="1" w:lastRow="0" w:firstColumn="1" w:lastColumn="0" w:noHBand="0" w:noVBand="1"/>
      </w:tblPr>
      <w:tblGrid>
        <w:gridCol w:w="8926"/>
      </w:tblGrid>
      <w:tr w:rsidR="00B8238C" w14:paraId="0148763A" w14:textId="77777777" w:rsidTr="007D1024">
        <w:trPr>
          <w:trHeight w:val="1152"/>
        </w:trPr>
        <w:tc>
          <w:tcPr>
            <w:tcW w:w="8926" w:type="dxa"/>
          </w:tcPr>
          <w:p w14:paraId="5EF1E76F" w14:textId="4C20AAC5" w:rsidR="00B8238C" w:rsidRDefault="005F1180" w:rsidP="00B8238C">
            <w:pPr>
              <w:pStyle w:val="Heading1"/>
            </w:pPr>
            <w:r>
              <w:rPr>
                <w:noProof/>
              </w:rPr>
              <mc:AlternateContent>
                <mc:Choice Requires="wps">
                  <w:drawing>
                    <wp:anchor distT="0" distB="0" distL="114300" distR="114300" simplePos="0" relativeHeight="251657215" behindDoc="0" locked="0" layoutInCell="1" allowOverlap="1" wp14:anchorId="0D006650" wp14:editId="6568DB17">
                      <wp:simplePos x="0" y="0"/>
                      <wp:positionH relativeFrom="column">
                        <wp:posOffset>893445</wp:posOffset>
                      </wp:positionH>
                      <wp:positionV relativeFrom="paragraph">
                        <wp:posOffset>43815</wp:posOffset>
                      </wp:positionV>
                      <wp:extent cx="3928745" cy="614680"/>
                      <wp:effectExtent l="0" t="0" r="14605" b="13970"/>
                      <wp:wrapNone/>
                      <wp:docPr id="2014958709" name="Text Box 2"/>
                      <wp:cNvGraphicFramePr/>
                      <a:graphic xmlns:a="http://schemas.openxmlformats.org/drawingml/2006/main">
                        <a:graphicData uri="http://schemas.microsoft.com/office/word/2010/wordprocessingShape">
                          <wps:wsp>
                            <wps:cNvSpPr txBox="1"/>
                            <wps:spPr>
                              <a:xfrm>
                                <a:off x="0" y="0"/>
                                <a:ext cx="3928745" cy="614680"/>
                              </a:xfrm>
                              <a:prstGeom prst="rect">
                                <a:avLst/>
                              </a:prstGeom>
                              <a:solidFill>
                                <a:schemeClr val="lt1"/>
                              </a:solidFill>
                              <a:ln w="6350">
                                <a:solidFill>
                                  <a:prstClr val="black"/>
                                </a:solidFill>
                              </a:ln>
                            </wps:spPr>
                            <wps:txbx>
                              <w:txbxContent>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5646"/>
                                  </w:tblGrid>
                                  <w:tr w:rsidR="00B8238C" w:rsidRPr="00B8238C" w14:paraId="60FDDFF1" w14:textId="77777777" w:rsidTr="00B8238C">
                                    <w:trPr>
                                      <w:trHeight w:val="741"/>
                                    </w:trPr>
                                    <w:tc>
                                      <w:tcPr>
                                        <w:tcW w:w="5646" w:type="dxa"/>
                                        <w:shd w:val="clear" w:color="auto" w:fill="D9D9D9" w:themeFill="background1" w:themeFillShade="D9"/>
                                      </w:tcPr>
                                      <w:p w14:paraId="08E11027" w14:textId="77777777" w:rsidR="00B8238C" w:rsidRPr="00B8238C" w:rsidRDefault="00B8238C" w:rsidP="00B8238C">
                                        <w:pPr>
                                          <w:spacing w:after="0" w:line="240" w:lineRule="auto"/>
                                          <w:jc w:val="center"/>
                                          <w:rPr>
                                            <w:b/>
                                            <w:bCs/>
                                          </w:rPr>
                                        </w:pPr>
                                        <w:r w:rsidRPr="00B8238C">
                                          <w:rPr>
                                            <w:b/>
                                            <w:bCs/>
                                          </w:rPr>
                                          <w:t>Multidisciplinary Journal of Science Technology Education and Management</w:t>
                                        </w:r>
                                      </w:p>
                                      <w:p w14:paraId="3D356948" w14:textId="67C68B20" w:rsidR="00B8238C" w:rsidRPr="00B8238C" w:rsidRDefault="00B8238C" w:rsidP="00B8238C">
                                        <w:pPr>
                                          <w:spacing w:after="0" w:line="240" w:lineRule="auto"/>
                                          <w:jc w:val="center"/>
                                          <w:rPr>
                                            <w:sz w:val="20"/>
                                            <w:szCs w:val="20"/>
                                          </w:rPr>
                                        </w:pPr>
                                        <w:r w:rsidRPr="00B8238C">
                                          <w:rPr>
                                            <w:sz w:val="20"/>
                                            <w:szCs w:val="20"/>
                                          </w:rPr>
                                          <w:t>Journal homepage: http://www.mjstem.</w:t>
                                        </w:r>
                                        <w:r w:rsidR="00BF0112">
                                          <w:rPr>
                                            <w:sz w:val="20"/>
                                            <w:szCs w:val="20"/>
                                          </w:rPr>
                                          <w:t>org</w:t>
                                        </w:r>
                                      </w:p>
                                      <w:p w14:paraId="4514C313" w14:textId="77777777" w:rsidR="00B8238C" w:rsidRPr="00B8238C" w:rsidRDefault="00B8238C" w:rsidP="00B8238C">
                                        <w:pPr>
                                          <w:rPr>
                                            <w:sz w:val="20"/>
                                            <w:szCs w:val="20"/>
                                          </w:rPr>
                                        </w:pPr>
                                      </w:p>
                                      <w:p w14:paraId="7136DE5F" w14:textId="77777777" w:rsidR="00B8238C" w:rsidRPr="00B8238C" w:rsidRDefault="00B8238C" w:rsidP="00B8238C">
                                        <w:pPr>
                                          <w:spacing w:after="0" w:line="240" w:lineRule="auto"/>
                                          <w:jc w:val="center"/>
                                          <w:rPr>
                                            <w:color w:val="BFBFBF" w:themeColor="background1" w:themeShade="BF"/>
                                          </w:rPr>
                                        </w:pPr>
                                      </w:p>
                                    </w:tc>
                                  </w:tr>
                                </w:tbl>
                                <w:p w14:paraId="1B0AA6FB" w14:textId="77777777" w:rsidR="00B8238C" w:rsidRDefault="00B8238C" w:rsidP="00B8238C">
                                  <w:pPr>
                                    <w:spacing w:after="0" w:line="240" w:lineRule="auto"/>
                                    <w:jc w:val="center"/>
                                  </w:pPr>
                                </w:p>
                                <w:p w14:paraId="78AC5E3F" w14:textId="77777777" w:rsidR="00B8238C" w:rsidRDefault="00B8238C" w:rsidP="00B8238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06650" id="_x0000_t202" coordsize="21600,21600" o:spt="202" path="m,l,21600r21600,l21600,xe">
                      <v:stroke joinstyle="miter"/>
                      <v:path gradientshapeok="t" o:connecttype="rect"/>
                    </v:shapetype>
                    <v:shape id="Text Box 2" o:spid="_x0000_s1026" type="#_x0000_t202" style="position:absolute;left:0;text-align:left;margin-left:70.35pt;margin-top:3.45pt;width:309.35pt;height:48.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" fillcolor="white [3201]" strokeweight=".5pt">
                      <v:textbox>
                        <w:txbxContent>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5646"/>
                            </w:tblGrid>
                            <w:tr w:rsidR="00B8238C" w:rsidRPr="00B8238C" w14:paraId="60FDDFF1" w14:textId="77777777" w:rsidTr="00B8238C">
                              <w:trPr>
                                <w:trHeight w:val="741"/>
                              </w:trPr>
                              <w:tc>
                                <w:tcPr>
                                  <w:tcW w:w="5646" w:type="dxa"/>
                                  <w:shd w:val="clear" w:color="auto" w:fill="D9D9D9" w:themeFill="background1" w:themeFillShade="D9"/>
                                </w:tcPr>
                                <w:p w14:paraId="08E11027" w14:textId="77777777" w:rsidR="00B8238C" w:rsidRPr="00B8238C" w:rsidRDefault="00B8238C" w:rsidP="00B8238C">
                                  <w:pPr>
                                    <w:spacing w:after="0" w:line="240" w:lineRule="auto"/>
                                    <w:jc w:val="center"/>
                                    <w:rPr>
                                      <w:b/>
                                      <w:bCs/>
                                    </w:rPr>
                                  </w:pPr>
                                  <w:r w:rsidRPr="00B8238C">
                                    <w:rPr>
                                      <w:b/>
                                      <w:bCs/>
                                    </w:rPr>
                                    <w:t>Multidisciplinary Journal of Science Technology Education and Management</w:t>
                                  </w:r>
                                </w:p>
                                <w:p w14:paraId="3D356948" w14:textId="67C68B20" w:rsidR="00B8238C" w:rsidRPr="00B8238C" w:rsidRDefault="00B8238C" w:rsidP="00B8238C">
                                  <w:pPr>
                                    <w:spacing w:after="0" w:line="240" w:lineRule="auto"/>
                                    <w:jc w:val="center"/>
                                    <w:rPr>
                                      <w:sz w:val="20"/>
                                      <w:szCs w:val="20"/>
                                    </w:rPr>
                                  </w:pPr>
                                  <w:r w:rsidRPr="00B8238C">
                                    <w:rPr>
                                      <w:sz w:val="20"/>
                                      <w:szCs w:val="20"/>
                                    </w:rPr>
                                    <w:t>Journal homepage: http://www.mjstem.</w:t>
                                  </w:r>
                                  <w:r w:rsidR="00BF0112">
                                    <w:rPr>
                                      <w:sz w:val="20"/>
                                      <w:szCs w:val="20"/>
                                    </w:rPr>
                                    <w:t>org</w:t>
                                  </w:r>
                                </w:p>
                                <w:p w14:paraId="4514C313" w14:textId="77777777" w:rsidR="00B8238C" w:rsidRPr="00B8238C" w:rsidRDefault="00B8238C" w:rsidP="00B8238C">
                                  <w:pPr>
                                    <w:rPr>
                                      <w:sz w:val="20"/>
                                      <w:szCs w:val="20"/>
                                    </w:rPr>
                                  </w:pPr>
                                </w:p>
                                <w:p w14:paraId="7136DE5F" w14:textId="77777777" w:rsidR="00B8238C" w:rsidRPr="00B8238C" w:rsidRDefault="00B8238C" w:rsidP="00B8238C">
                                  <w:pPr>
                                    <w:spacing w:after="0" w:line="240" w:lineRule="auto"/>
                                    <w:jc w:val="center"/>
                                    <w:rPr>
                                      <w:color w:val="BFBFBF" w:themeColor="background1" w:themeShade="BF"/>
                                    </w:rPr>
                                  </w:pPr>
                                </w:p>
                              </w:tc>
                            </w:tr>
                          </w:tbl>
                          <w:p w14:paraId="1B0AA6FB" w14:textId="77777777" w:rsidR="00B8238C" w:rsidRDefault="00B8238C" w:rsidP="00B8238C">
                            <w:pPr>
                              <w:spacing w:after="0" w:line="240" w:lineRule="auto"/>
                              <w:jc w:val="center"/>
                            </w:pPr>
                          </w:p>
                          <w:p w14:paraId="78AC5E3F" w14:textId="77777777" w:rsidR="00B8238C" w:rsidRDefault="00B8238C" w:rsidP="00B8238C">
                            <w:pPr>
                              <w:spacing w:after="0" w:line="240" w:lineRule="auto"/>
                              <w:jc w:val="center"/>
                            </w:pPr>
                          </w:p>
                        </w:txbxContent>
                      </v:textbox>
                    </v:shape>
                  </w:pict>
                </mc:Fallback>
              </mc:AlternateContent>
            </w:r>
            <w:r w:rsidR="00C507A9">
              <w:rPr>
                <w:noProof/>
                <w:sz w:val="22"/>
                <w:szCs w:val="22"/>
              </w:rPr>
              <w:drawing>
                <wp:anchor distT="0" distB="0" distL="114300" distR="114300" simplePos="0" relativeHeight="251659264" behindDoc="0" locked="0" layoutInCell="1" allowOverlap="1" wp14:anchorId="2FC3A0B1" wp14:editId="54DA7F4C">
                  <wp:simplePos x="0" y="0"/>
                  <wp:positionH relativeFrom="column">
                    <wp:posOffset>4957445</wp:posOffset>
                  </wp:positionH>
                  <wp:positionV relativeFrom="paragraph">
                    <wp:posOffset>82550</wp:posOffset>
                  </wp:positionV>
                  <wp:extent cx="457200" cy="503555"/>
                  <wp:effectExtent l="0" t="0" r="0" b="0"/>
                  <wp:wrapSquare wrapText="bothSides"/>
                  <wp:docPr id="956196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96895" name="Picture 956196895"/>
                          <pic:cNvPicPr/>
                        </pic:nvPicPr>
                        <pic:blipFill>
                          <a:blip r:embed="rId8">
                            <a:extLst>
                              <a:ext uri="{28A0092B-C50C-407E-A947-70E740481C1C}">
                                <a14:useLocalDpi xmlns:a14="http://schemas.microsoft.com/office/drawing/2010/main" val="0"/>
                              </a:ext>
                            </a:extLst>
                          </a:blip>
                          <a:stretch>
                            <a:fillRect/>
                          </a:stretch>
                        </pic:blipFill>
                        <pic:spPr>
                          <a:xfrm>
                            <a:off x="0" y="0"/>
                            <a:ext cx="457200" cy="503555"/>
                          </a:xfrm>
                          <a:prstGeom prst="rect">
                            <a:avLst/>
                          </a:prstGeom>
                        </pic:spPr>
                      </pic:pic>
                    </a:graphicData>
                  </a:graphic>
                  <wp14:sizeRelH relativeFrom="page">
                    <wp14:pctWidth>0</wp14:pctWidth>
                  </wp14:sizeRelH>
                  <wp14:sizeRelV relativeFrom="page">
                    <wp14:pctHeight>0</wp14:pctHeight>
                  </wp14:sizeRelV>
                </wp:anchor>
              </w:drawing>
            </w:r>
            <w:r w:rsidR="00C507A9">
              <w:t xml:space="preserve">                                                                         </w:t>
            </w:r>
            <w:r w:rsidR="00B8238C">
              <w:rPr>
                <w:noProof/>
              </w:rPr>
              <w:drawing>
                <wp:anchor distT="0" distB="0" distL="114300" distR="114300" simplePos="0" relativeHeight="251658240" behindDoc="1" locked="0" layoutInCell="1" allowOverlap="1" wp14:anchorId="3522F7E2" wp14:editId="3C870913">
                  <wp:simplePos x="0" y="0"/>
                  <wp:positionH relativeFrom="column">
                    <wp:posOffset>-64782</wp:posOffset>
                  </wp:positionH>
                  <wp:positionV relativeFrom="paragraph">
                    <wp:posOffset>2540</wp:posOffset>
                  </wp:positionV>
                  <wp:extent cx="806450" cy="696835"/>
                  <wp:effectExtent l="0" t="0" r="0" b="8255"/>
                  <wp:wrapTight wrapText="bothSides">
                    <wp:wrapPolygon edited="0">
                      <wp:start x="0" y="0"/>
                      <wp:lineTo x="0" y="21265"/>
                      <wp:lineTo x="20920" y="21265"/>
                      <wp:lineTo x="20920" y="0"/>
                      <wp:lineTo x="0" y="0"/>
                    </wp:wrapPolygon>
                  </wp:wrapTight>
                  <wp:docPr id="6939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50" cy="696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33F5F2F" w14:textId="59624337" w:rsidR="00A016B2" w:rsidRPr="001D5A33" w:rsidRDefault="008236C2" w:rsidP="008236C2">
      <w:pPr>
        <w:pStyle w:val="Heading1"/>
      </w:pPr>
      <w:r w:rsidRPr="008236C2">
        <w:t xml:space="preserve">Groundwater Flow Dynamics and Structural Controls in a Basement Complex Terrain: Evidence from Hand-Dug </w:t>
      </w:r>
      <w:r w:rsidR="00B41CC8">
        <w:t xml:space="preserve">    </w:t>
      </w:r>
      <w:r w:rsidRPr="008236C2">
        <w:t xml:space="preserve">Wells in Parts of Minna Sheet 164 </w:t>
      </w:r>
      <w:proofErr w:type="gramStart"/>
      <w:r w:rsidRPr="008236C2">
        <w:t xml:space="preserve">SW, </w:t>
      </w:r>
      <w:r w:rsidR="00B41CC8">
        <w:t xml:space="preserve">  </w:t>
      </w:r>
      <w:proofErr w:type="gramEnd"/>
      <w:r w:rsidR="00B41CC8">
        <w:t xml:space="preserve">                            </w:t>
      </w:r>
      <w:r w:rsidRPr="008236C2">
        <w:t>North Central Nigeria</w:t>
      </w:r>
    </w:p>
    <w:p w14:paraId="413363CB" w14:textId="0A5FAB29" w:rsidR="001D5A33" w:rsidRPr="00236338" w:rsidRDefault="008236C2" w:rsidP="001D5A33">
      <w:pPr>
        <w:jc w:val="left"/>
        <w:rPr>
          <w:color w:val="0000FF"/>
          <w:sz w:val="22"/>
          <w:szCs w:val="22"/>
        </w:rPr>
      </w:pPr>
      <w:r w:rsidRPr="008236C2">
        <w:rPr>
          <w:sz w:val="22"/>
          <w:szCs w:val="22"/>
        </w:rPr>
        <w:t>Umar Sulaiman</w:t>
      </w:r>
      <w:r w:rsidRPr="008236C2">
        <w:rPr>
          <w:sz w:val="22"/>
          <w:szCs w:val="22"/>
          <w:vertAlign w:val="superscript"/>
        </w:rPr>
        <w:t>a</w:t>
      </w:r>
      <w:r w:rsidRPr="008236C2">
        <w:rPr>
          <w:sz w:val="22"/>
          <w:szCs w:val="22"/>
        </w:rPr>
        <w:t>*, Abdullahi Idris-</w:t>
      </w:r>
      <w:proofErr w:type="spellStart"/>
      <w:r w:rsidRPr="008236C2">
        <w:rPr>
          <w:sz w:val="22"/>
          <w:szCs w:val="22"/>
        </w:rPr>
        <w:t>Nda</w:t>
      </w:r>
      <w:r w:rsidRPr="008236C2">
        <w:rPr>
          <w:sz w:val="22"/>
          <w:szCs w:val="22"/>
          <w:vertAlign w:val="superscript"/>
        </w:rPr>
        <w:t>b</w:t>
      </w:r>
      <w:proofErr w:type="spellEnd"/>
      <w:r w:rsidRPr="008236C2">
        <w:rPr>
          <w:sz w:val="22"/>
          <w:szCs w:val="22"/>
        </w:rPr>
        <w:t>, Musa Suleiman Tenimu</w:t>
      </w:r>
      <w:r w:rsidRPr="008236C2">
        <w:rPr>
          <w:sz w:val="22"/>
          <w:szCs w:val="22"/>
          <w:vertAlign w:val="superscript"/>
        </w:rPr>
        <w:t>b</w:t>
      </w:r>
      <w:r w:rsidRPr="008236C2">
        <w:rPr>
          <w:sz w:val="22"/>
          <w:szCs w:val="22"/>
        </w:rPr>
        <w:t>, Abubakar Abduljaleel Enesi</w:t>
      </w:r>
      <w:r w:rsidRPr="008236C2">
        <w:rPr>
          <w:sz w:val="22"/>
          <w:szCs w:val="22"/>
          <w:vertAlign w:val="superscript"/>
        </w:rPr>
        <w:t>b</w:t>
      </w:r>
      <w:r w:rsidRPr="008236C2">
        <w:rPr>
          <w:sz w:val="22"/>
          <w:szCs w:val="22"/>
        </w:rPr>
        <w:t xml:space="preserve">, Folorunsho Owolabi </w:t>
      </w:r>
      <w:proofErr w:type="spellStart"/>
      <w:r w:rsidRPr="008236C2">
        <w:rPr>
          <w:sz w:val="22"/>
          <w:szCs w:val="22"/>
        </w:rPr>
        <w:t>Wahab</w:t>
      </w:r>
      <w:r w:rsidRPr="008236C2">
        <w:rPr>
          <w:sz w:val="22"/>
          <w:szCs w:val="22"/>
          <w:vertAlign w:val="superscript"/>
        </w:rPr>
        <w:t>c</w:t>
      </w:r>
      <w:proofErr w:type="spellEnd"/>
    </w:p>
    <w:p w14:paraId="6B8834CA" w14:textId="6918DCBE" w:rsidR="001D5A33" w:rsidRPr="007633F3" w:rsidRDefault="001D5A33" w:rsidP="007633F3">
      <w:pPr>
        <w:spacing w:after="0"/>
        <w:rPr>
          <w:sz w:val="22"/>
          <w:szCs w:val="22"/>
        </w:rPr>
      </w:pPr>
      <w:proofErr w:type="spellStart"/>
      <w:r w:rsidRPr="007633F3">
        <w:rPr>
          <w:sz w:val="22"/>
          <w:szCs w:val="22"/>
          <w:vertAlign w:val="superscript"/>
        </w:rPr>
        <w:t>a</w:t>
      </w:r>
      <w:r w:rsidR="008236C2" w:rsidRPr="008236C2">
        <w:rPr>
          <w:sz w:val="22"/>
          <w:szCs w:val="22"/>
        </w:rPr>
        <w:t>Department</w:t>
      </w:r>
      <w:proofErr w:type="spellEnd"/>
      <w:r w:rsidR="008236C2" w:rsidRPr="008236C2">
        <w:rPr>
          <w:sz w:val="22"/>
          <w:szCs w:val="22"/>
        </w:rPr>
        <w:t xml:space="preserve"> of Geosciences, Universiti Teknologi </w:t>
      </w:r>
      <w:r w:rsidR="00577C5B" w:rsidRPr="008236C2">
        <w:rPr>
          <w:sz w:val="22"/>
          <w:szCs w:val="22"/>
        </w:rPr>
        <w:t>PETRONAS</w:t>
      </w:r>
      <w:r w:rsidR="008236C2" w:rsidRPr="008236C2">
        <w:rPr>
          <w:sz w:val="22"/>
          <w:szCs w:val="22"/>
        </w:rPr>
        <w:t>, Malaysia</w:t>
      </w:r>
      <w:r w:rsidR="00B03DCE">
        <w:rPr>
          <w:sz w:val="22"/>
          <w:szCs w:val="22"/>
        </w:rPr>
        <w:t>;</w:t>
      </w:r>
    </w:p>
    <w:p w14:paraId="635E259D" w14:textId="0A38095F" w:rsidR="007633F3" w:rsidRPr="007633F3" w:rsidRDefault="007633F3" w:rsidP="007633F3">
      <w:pPr>
        <w:spacing w:after="0"/>
        <w:rPr>
          <w:sz w:val="22"/>
          <w:szCs w:val="22"/>
        </w:rPr>
      </w:pPr>
      <w:proofErr w:type="spellStart"/>
      <w:r w:rsidRPr="007633F3">
        <w:rPr>
          <w:sz w:val="22"/>
          <w:szCs w:val="22"/>
          <w:vertAlign w:val="superscript"/>
        </w:rPr>
        <w:t>b</w:t>
      </w:r>
      <w:r w:rsidR="008236C2" w:rsidRPr="008236C2">
        <w:rPr>
          <w:sz w:val="22"/>
          <w:szCs w:val="22"/>
        </w:rPr>
        <w:t>Geology</w:t>
      </w:r>
      <w:proofErr w:type="spellEnd"/>
      <w:r w:rsidR="008236C2" w:rsidRPr="008236C2">
        <w:rPr>
          <w:sz w:val="22"/>
          <w:szCs w:val="22"/>
        </w:rPr>
        <w:t xml:space="preserve"> Department, Federal University of Technology, Minna, Nigeria</w:t>
      </w:r>
      <w:r w:rsidR="00B03DCE">
        <w:rPr>
          <w:sz w:val="22"/>
          <w:szCs w:val="22"/>
        </w:rPr>
        <w:t>;</w:t>
      </w:r>
    </w:p>
    <w:p w14:paraId="2DD5D82B" w14:textId="2FA2AAB7" w:rsidR="007633F3" w:rsidRPr="007633F3" w:rsidRDefault="007633F3" w:rsidP="007633F3">
      <w:pPr>
        <w:rPr>
          <w:sz w:val="22"/>
          <w:szCs w:val="22"/>
        </w:rPr>
      </w:pPr>
      <w:proofErr w:type="spellStart"/>
      <w:r w:rsidRPr="007633F3">
        <w:rPr>
          <w:sz w:val="22"/>
          <w:szCs w:val="22"/>
          <w:vertAlign w:val="superscript"/>
        </w:rPr>
        <w:t>c</w:t>
      </w:r>
      <w:r w:rsidR="008236C2" w:rsidRPr="008236C2">
        <w:rPr>
          <w:sz w:val="22"/>
          <w:szCs w:val="22"/>
        </w:rPr>
        <w:t>Department</w:t>
      </w:r>
      <w:proofErr w:type="spellEnd"/>
      <w:r w:rsidR="008236C2" w:rsidRPr="008236C2">
        <w:rPr>
          <w:sz w:val="22"/>
          <w:szCs w:val="22"/>
        </w:rPr>
        <w:t xml:space="preserve"> of Geological Technology, Federal Polytechnic, Offa, Nigeria</w:t>
      </w:r>
      <w:r w:rsidR="00BD7E39">
        <w:rPr>
          <w:sz w:val="22"/>
          <w:szCs w:val="22"/>
        </w:rPr>
        <w:t>.</w:t>
      </w:r>
    </w:p>
    <w:p w14:paraId="53E37490" w14:textId="50C7D6D0" w:rsidR="007633F3" w:rsidRDefault="007633F3" w:rsidP="00320831">
      <w:pPr>
        <w:rPr>
          <w:sz w:val="22"/>
          <w:szCs w:val="22"/>
        </w:rPr>
      </w:pPr>
      <w:r w:rsidRPr="007633F3">
        <w:rPr>
          <w:sz w:val="22"/>
          <w:szCs w:val="22"/>
          <w:vertAlign w:val="superscript"/>
        </w:rPr>
        <w:t>*</w:t>
      </w:r>
      <w:r w:rsidRPr="007633F3">
        <w:rPr>
          <w:sz w:val="22"/>
          <w:szCs w:val="22"/>
        </w:rPr>
        <w:t xml:space="preserve">Correspondence: </w:t>
      </w:r>
      <w:r w:rsidR="008236C2" w:rsidRPr="008236C2">
        <w:rPr>
          <w:sz w:val="22"/>
          <w:szCs w:val="22"/>
        </w:rPr>
        <w:t>Umar Sulaiman (umarsulaiman53@gmail.com)</w:t>
      </w:r>
    </w:p>
    <w:p w14:paraId="08841F6A" w14:textId="594A98AD" w:rsidR="007633F3" w:rsidRPr="00C53357" w:rsidRDefault="00193933" w:rsidP="000D3D3D">
      <w:pPr>
        <w:pStyle w:val="Heading2"/>
        <w:numPr>
          <w:ilvl w:val="0"/>
          <w:numId w:val="0"/>
        </w:numPr>
      </w:pPr>
      <w:r w:rsidRPr="00C53357">
        <w:t>Abstract</w:t>
      </w:r>
    </w:p>
    <w:p w14:paraId="1F0E4FB3" w14:textId="02C12E67" w:rsidR="00171642" w:rsidRDefault="008236C2" w:rsidP="00171642">
      <w:pPr>
        <w:rPr>
          <w:color w:val="000000"/>
        </w:rPr>
      </w:pPr>
      <w:r w:rsidRPr="008236C2">
        <w:rPr>
          <w:color w:val="000000"/>
        </w:rPr>
        <w:t xml:space="preserve">Groundwater in basement terrain is predominantly controlled by weathered regolith thickness and fracture systems, yet detailed quantitative characterization remains limited in parts of Minna Sheet 164 SW, North Central Nigeria. This study evaluates groundwater flow dynamics, structural control, and vulnerability within an 81 </w:t>
      </w:r>
      <w:proofErr w:type="spellStart"/>
      <w:r w:rsidRPr="008236C2">
        <w:rPr>
          <w:color w:val="000000"/>
        </w:rPr>
        <w:t>km²</w:t>
      </w:r>
      <w:proofErr w:type="spellEnd"/>
      <w:r w:rsidRPr="008236C2">
        <w:rPr>
          <w:color w:val="000000"/>
        </w:rPr>
        <w:t xml:space="preserve"> area underlain mainly by granite and schist. Geological mapping at a scale of 1:12,500 was integrated with a systematic grid-based inventory of 117 hand-dug wells. To improve methodological transparency, the study area was subdivided into approximately </w:t>
      </w:r>
      <w:proofErr w:type="spellStart"/>
      <w:r w:rsidRPr="008236C2">
        <w:rPr>
          <w:color w:val="000000"/>
        </w:rPr>
        <w:t>500m</w:t>
      </w:r>
      <w:proofErr w:type="spellEnd"/>
      <w:r w:rsidRPr="008236C2">
        <w:rPr>
          <w:color w:val="000000"/>
        </w:rPr>
        <w:t xml:space="preserve"> x </w:t>
      </w:r>
      <w:proofErr w:type="spellStart"/>
      <w:r w:rsidRPr="008236C2">
        <w:rPr>
          <w:color w:val="000000"/>
        </w:rPr>
        <w:t>500m</w:t>
      </w:r>
      <w:proofErr w:type="spellEnd"/>
      <w:r w:rsidRPr="008236C2">
        <w:rPr>
          <w:color w:val="000000"/>
        </w:rPr>
        <w:t xml:space="preserve"> grid cells to ensure spatial representativeness of hydrogeological measurements. Static water levels ranged from 0.9-</w:t>
      </w:r>
      <w:proofErr w:type="spellStart"/>
      <w:r w:rsidRPr="008236C2">
        <w:rPr>
          <w:color w:val="000000"/>
        </w:rPr>
        <w:t>10.3m</w:t>
      </w:r>
      <w:proofErr w:type="spellEnd"/>
      <w:r w:rsidRPr="008236C2">
        <w:rPr>
          <w:color w:val="000000"/>
        </w:rPr>
        <w:t xml:space="preserve"> (mean = </w:t>
      </w:r>
      <w:proofErr w:type="spellStart"/>
      <w:r w:rsidRPr="008236C2">
        <w:rPr>
          <w:color w:val="000000"/>
        </w:rPr>
        <w:t>4.23m</w:t>
      </w:r>
      <w:proofErr w:type="spellEnd"/>
      <w:r w:rsidRPr="008236C2">
        <w:rPr>
          <w:color w:val="000000"/>
        </w:rPr>
        <w:t xml:space="preserve">), well depths from 1.6-10.6 m (mean = </w:t>
      </w:r>
      <w:proofErr w:type="spellStart"/>
      <w:r w:rsidRPr="008236C2">
        <w:rPr>
          <w:color w:val="000000"/>
        </w:rPr>
        <w:t>5.05m</w:t>
      </w:r>
      <w:proofErr w:type="spellEnd"/>
      <w:r w:rsidRPr="008236C2">
        <w:rPr>
          <w:color w:val="000000"/>
        </w:rPr>
        <w:t>), and water column thickness from 0-</w:t>
      </w:r>
      <w:proofErr w:type="spellStart"/>
      <w:r w:rsidRPr="008236C2">
        <w:rPr>
          <w:color w:val="000000"/>
        </w:rPr>
        <w:t>4.8m</w:t>
      </w:r>
      <w:proofErr w:type="spellEnd"/>
      <w:r w:rsidRPr="008236C2">
        <w:rPr>
          <w:color w:val="000000"/>
        </w:rPr>
        <w:t xml:space="preserve">. Water table elevations were interpolated using Ordinary Kriging, and the hydraulic gradient was quantified using I = </w:t>
      </w:r>
      <w:proofErr w:type="spellStart"/>
      <w:r w:rsidRPr="008236C2">
        <w:rPr>
          <w:color w:val="000000"/>
        </w:rPr>
        <w:t>Δh</w:t>
      </w:r>
      <w:proofErr w:type="spellEnd"/>
      <w:r w:rsidRPr="008236C2">
        <w:rPr>
          <w:color w:val="000000"/>
        </w:rPr>
        <w:t>/</w:t>
      </w:r>
      <w:proofErr w:type="spellStart"/>
      <w:r w:rsidRPr="008236C2">
        <w:rPr>
          <w:color w:val="000000"/>
        </w:rPr>
        <w:t>Δl</w:t>
      </w:r>
      <w:proofErr w:type="spellEnd"/>
      <w:r w:rsidRPr="008236C2">
        <w:rPr>
          <w:color w:val="000000"/>
        </w:rPr>
        <w:t xml:space="preserve">, yielding an average gradient of 0.02-0.03 along the dominant NE-SW flow path. Recharge interpretation was supported by a first-order rainfall-runoff water balance estimate based on NiMet data (2013-2023), indicating potential annual infiltration of approximately 3.9 × 10⁷ </w:t>
      </w:r>
      <w:proofErr w:type="spellStart"/>
      <w:r w:rsidRPr="008236C2">
        <w:rPr>
          <w:color w:val="000000"/>
        </w:rPr>
        <w:t>m³</w:t>
      </w:r>
      <w:proofErr w:type="spellEnd"/>
      <w:r w:rsidRPr="008236C2">
        <w:rPr>
          <w:color w:val="000000"/>
        </w:rPr>
        <w:t>. Structural analysis reveals alignment between NNE-SSW joint orientation and groundwater flow direction, suggesting fracture-controlled anisotropy. Although vulnerability assessment remains conceptual, the thin overburden (0.5-</w:t>
      </w:r>
      <w:proofErr w:type="spellStart"/>
      <w:r w:rsidRPr="008236C2">
        <w:rPr>
          <w:color w:val="000000"/>
        </w:rPr>
        <w:t>1.0m</w:t>
      </w:r>
      <w:proofErr w:type="spellEnd"/>
      <w:r w:rsidRPr="008236C2">
        <w:rPr>
          <w:color w:val="000000"/>
        </w:rPr>
        <w:t>) indicates moderate to high susceptibility to contamination. Limitations, including seasonal variability, absence of pumping test data, and interpolation uncertainty, are explicitly acknowledged. The study provides a hydrogeological framework to guide sustainable groundwater development in basement complex terrains.</w:t>
      </w:r>
    </w:p>
    <w:p w14:paraId="743F61B3" w14:textId="156374AD" w:rsidR="002802B6" w:rsidRDefault="002802B6" w:rsidP="002802B6">
      <w:r w:rsidRPr="002802B6">
        <w:rPr>
          <w:b/>
          <w:bCs/>
        </w:rPr>
        <w:t>Keywords:</w:t>
      </w:r>
      <w:r w:rsidRPr="002802B6">
        <w:t xml:space="preserve"> </w:t>
      </w:r>
      <w:r w:rsidR="00DA02F3">
        <w:t>G</w:t>
      </w:r>
      <w:r w:rsidR="008236C2" w:rsidRPr="008236C2">
        <w:t>roundwater flow, hydraulic gradient, structural control, hand-dug wells, basement complex terrains</w:t>
      </w:r>
      <w:r w:rsidRPr="002802B6">
        <w:t>.</w:t>
      </w:r>
    </w:p>
    <w:p w14:paraId="2B8394C4" w14:textId="77777777" w:rsidR="008236C2" w:rsidRDefault="008236C2" w:rsidP="002802B6"/>
    <w:p w14:paraId="5B636C6E" w14:textId="0876749E" w:rsidR="00452A9C" w:rsidRPr="000D3D3D" w:rsidRDefault="00452A9C" w:rsidP="00452A9C">
      <w:pPr>
        <w:pStyle w:val="Heading2"/>
      </w:pPr>
      <w:r w:rsidRPr="000D3D3D">
        <w:lastRenderedPageBreak/>
        <w:t xml:space="preserve">Introduction </w:t>
      </w:r>
    </w:p>
    <w:p w14:paraId="68DA64E8" w14:textId="77777777" w:rsidR="00E24D90" w:rsidRDefault="008236C2" w:rsidP="00171642">
      <w:pPr>
        <w:rPr>
          <w:rFonts w:ascii="Times New Roman" w:hAnsi="Times New Roman" w:cs="Times New Roman"/>
        </w:rPr>
      </w:pPr>
      <w:r w:rsidRPr="007750F7">
        <w:rPr>
          <w:rFonts w:ascii="Times New Roman" w:hAnsi="Times New Roman" w:cs="Times New Roman"/>
        </w:rPr>
        <w:t xml:space="preserve">Groundwater constitutes the most reliable and widely distributed source of freshwater in basement terrains, particularly in sub-Saharan Africa, where public water supply infrastructure is often inadequate </w:t>
      </w:r>
      <w:r>
        <w:rPr>
          <w:rFonts w:ascii="Times New Roman" w:hAnsi="Times New Roman" w:cs="Times New Roman"/>
        </w:rPr>
        <w:fldChar w:fldCharType="begin" w:fldLock="1"/>
      </w:r>
      <w:r w:rsidR="007D5B49">
        <w:rPr>
          <w:rFonts w:ascii="Times New Roman" w:hAnsi="Times New Roman" w:cs="Times New Roman"/>
        </w:rPr>
        <w:instrText>ADDIN CSL_CITATION {"citationItems":[{"id":"ITEM-1","itemData":{"DOI":"10.1016/j.catena.2020.104681","ISSN":"03418162","abstract":"Over-extraction of groundwater has compromised its climatic resilience properties and the arid/semi-arid rural tracts are becoming increasingly vulnerable to the risks of groundwater scarcity. This study has employed a combination of Geographical Information System (GIS) and Analytical Hierarchical Process (AHP) techniques to delineate the Groundwater Potential Zones (GPZs) of the semi-arid Birbhum district in eastern India which suffers from seasonal drought during lean periods. For a reliable evaluation, a large number of thematic layers (N = 12) including geology, geomorphology, Land Use/Land Cover (LULC), fault and lineament density, drainage density, rainfall, soil type, slope, roughness, topographic wetness index, topographic position index and curvature were considered for this assessment. Multicollinearity and consistency checks were performed prior integrating the layers to avoid a non-trivial degree of accuracy in prediction output. The GPZ map was obtained with an accuracy of 80.49% with respect to the observation tube well data. Based on the obtained output, 38.24%, 24.24% and 11.14% of areas of the district classified as moderate, poor, and very poor GPZs, respectively, whereas only 26.38% of the district classified as high to very high GPZs. Cross-validation using the Receiver Operating Characteristic curve revealed a good prediction accuracy of 71.50%. Furthermore, map removal and single parameter sensitivity analysis was also performed which revealed geology, geomorphology, soil types, rainfall, LULC and lineament density as the most influential parameters for the prediction model where exclusion of any thematic layer significantly changes the prediction accuracy and area of each GPZ class. The most convincing GPZs are recorded in some parts of the Mayurakshi and Ajay river basins and certain alluvial aquifer regions. Nonetheless, the study recommends the adaptation of Managed Aquifer Recharge techniques including rainwater harvesting, alternative cropping patterns and irrigation techniques such as sprinklers, drips and micro irrigations to increase the groundwater potential of the water crisis zones.","author":[{"dropping-particle":"","family":"Mukherjee","given":"Indrani","non-dropping-particle":"","parse-names":false,"suffix":""},{"dropping-particle":"","family":"Singh","given":"Umesh Kumar","non-dropping-particle":"","parse-names":false,"suffix":""}],"container-title":"Catena","id":"ITEM-1","issued":{"date-parts":[["2020"]]},"title":"Delineation of groundwater potential zones in a drought-prone semi-arid region of east India using GIS and analytical hierarchical process techniques","type":"article-journal","volume":"194"},"uris":["http://www.mendeley.com/documents/?uuid=fb10295c-ec0b-4655-a6e8-91186dac55d7","http://www.mendeley.com/documents/?uuid=c13c8ae2-1a51-4c91-a043-3981f2011961"]}],"mendeley":{"formattedCitation":"(Mukherjee &amp; Singh, 2020)","plainTextFormattedCitation":"(Mukherjee &amp; Singh, 2020)","previouslyFormattedCitation":"(Mukherjee &amp; Singh, 2020)"},"properties":{"noteIndex":0},"schema":"https://github.com/citation-style-language/schema/raw/master/csl-citation.json"}</w:instrText>
      </w:r>
      <w:r>
        <w:rPr>
          <w:rFonts w:ascii="Times New Roman" w:hAnsi="Times New Roman" w:cs="Times New Roman"/>
        </w:rPr>
        <w:fldChar w:fldCharType="separate"/>
      </w:r>
      <w:r w:rsidRPr="00020B01">
        <w:rPr>
          <w:rFonts w:ascii="Times New Roman" w:hAnsi="Times New Roman" w:cs="Times New Roman"/>
          <w:noProof/>
        </w:rPr>
        <w:t>(Mukherjee &amp; Singh, 2020)</w:t>
      </w:r>
      <w:r>
        <w:rPr>
          <w:rFonts w:ascii="Times New Roman" w:hAnsi="Times New Roman" w:cs="Times New Roman"/>
        </w:rPr>
        <w:fldChar w:fldCharType="end"/>
      </w:r>
      <w:r w:rsidRPr="007750F7">
        <w:rPr>
          <w:rFonts w:ascii="Times New Roman" w:hAnsi="Times New Roman" w:cs="Times New Roman"/>
        </w:rPr>
        <w:t xml:space="preserve">. In such geological environments, groundwater occurrence and movement are primarily controlled by secondary porosity developed within weathered and fractured bedrock systems </w:t>
      </w:r>
      <w:r>
        <w:rPr>
          <w:rFonts w:ascii="Times New Roman" w:hAnsi="Times New Roman" w:cs="Times New Roman"/>
        </w:rPr>
        <w:fldChar w:fldCharType="begin" w:fldLock="1"/>
      </w:r>
      <w:r w:rsidR="007D5B49">
        <w:rPr>
          <w:rFonts w:ascii="Times New Roman" w:hAnsi="Times New Roman" w:cs="Times New Roman"/>
        </w:rPr>
        <w:instrText>ADDIN CSL_CITATION {"citationItems":[{"id":"ITEM-1","itemData":{"abstract":"A study on the water quality of unconfined shallow aquifers was conducted with the aim of assessing physicochemical and bacteriological contamination of groundwater as a result of poor design of water and sanitation facilities in Bida, Nigeria. The study was conducted using a grid-based approach on wells, boreholes, surface water and households. The water has a high Total Dissolved Solids. Slightly acidic pH and mean distance of wells to waste disposal facilities is 12m. Chemical parameters that occur in high concentrations are sulphates, chlorides, nitrates and sodium and total coliform is very high. Contamination of deeper sources of water from the dug wells is both lateral and vertical with contamination plume spreading to better planned areas. Surface water has the least contamination and is proposed for water supply. Sanitation facilities should be upgraded from pit to ventilated improved pit latrines.","author":[{"dropping-particle":"","family":"Salihu","given":"H D","non-dropping-particle":"","parse-names":false,"suffix":""},{"dropping-particle":"","family":"Jimada","given":"A M","non-dropping-particle":"","parse-names":false,"suffix":""}],"id":"ITEM-1","issued":{"date-parts":[["2016"]]},"page":"1-6","title":"Groundwater quality in shallow unconfined sedimentary aquifers in Bida , Nigeria","type":"article-journal"},"uris":["http://www.mendeley.com/documents/?uuid=02b4e492-984d-4029-93cb-f22c6dd16e3b","http://www.mendeley.com/documents/?uuid=e9aa23b9-611a-439f-ba63-963a3c7b92fe"]}],"mendeley":{"formattedCitation":"(Salihu &amp; Jimada, 2016)","plainTextFormattedCitation":"(Salihu &amp; Jimada, 2016)","previouslyFormattedCitation":"(Salihu &amp; Jimada, 2016)"},"properties":{"noteIndex":0},"schema":"https://github.com/citation-style-language/schema/raw/master/csl-citation.json"}</w:instrText>
      </w:r>
      <w:r>
        <w:rPr>
          <w:rFonts w:ascii="Times New Roman" w:hAnsi="Times New Roman" w:cs="Times New Roman"/>
        </w:rPr>
        <w:fldChar w:fldCharType="separate"/>
      </w:r>
      <w:r w:rsidRPr="00020B01">
        <w:rPr>
          <w:rFonts w:ascii="Times New Roman" w:hAnsi="Times New Roman" w:cs="Times New Roman"/>
          <w:noProof/>
        </w:rPr>
        <w:t>(Salihu &amp; Jimada, 2016)</w:t>
      </w:r>
      <w:r>
        <w:rPr>
          <w:rFonts w:ascii="Times New Roman" w:hAnsi="Times New Roman" w:cs="Times New Roman"/>
        </w:rPr>
        <w:fldChar w:fldCharType="end"/>
      </w:r>
      <w:r w:rsidRPr="007750F7">
        <w:rPr>
          <w:rFonts w:ascii="Times New Roman" w:hAnsi="Times New Roman" w:cs="Times New Roman"/>
        </w:rPr>
        <w:t xml:space="preserve">. The hydraulic behavior of basement aquifers is therefore inherently heterogeneous and structurally influenced </w:t>
      </w:r>
      <w:r>
        <w:rPr>
          <w:rFonts w:ascii="Times New Roman" w:hAnsi="Times New Roman" w:cs="Times New Roman"/>
        </w:rPr>
        <w:fldChar w:fldCharType="begin" w:fldLock="1"/>
      </w:r>
      <w:r w:rsidR="007D5B49">
        <w:rPr>
          <w:rFonts w:ascii="Times New Roman" w:hAnsi="Times New Roman" w:cs="Times New Roman"/>
        </w:rPr>
        <w:instrText>ADDIN CSL_CITATION {"citationItems":[{"id":"ITEM-1","itemData":{"DOI":"10.1088/1748-9326/ab1a5f","ISSN":"17489326","abstract":"Population growth, economic development, and dietary changes have drastically increased the demand for food and water. The resulting expansion of irrigated agriculture into semi-arid areas with limited precipitation and surface water has greatly increased the dependence of irrigated crops on groundwater withdrawal. Also, the increasing number of people living in mega-cities without access to clean surface water or piped drinking water has drastically increased urban groundwater use. The result of these trends has been the steady increase of the use of non-renewable groundwater resources and associated high rates of aquifer depletion around the globe. We present a comprehensive review of the state-of-the-art in research on non-renewable groundwater use and groundwater depletion. We start with a section defining the concepts of non-renewable groundwater, fossil groundwater and groundwater depletion and place these concepts in a hydrogeological perspective. We pay particular attention to the interaction between groundwater withdrawal, recharge and surface water which is critical to understanding sustainable groundwater withdrawal. We provide an overview of methods that have been used to estimate groundwater depletion, followed by an extensive review of global and regional depletion estimates, the adverse impacts of groundwater depletion and the hydroeconomics of groundwater use. We end this review with an outlook for future research based on main research gaps and challenges identified. This review shows that both the estimates of current depletion rates and the future availability of non-renewable groundwater are highly uncertain and that considerable data and research challenges need to be overcome if we hope to reduce this uncertainty in the near future.","author":[{"dropping-particle":"","family":"Bierkens","given":"Marc F.P.","non-dropping-particle":"","parse-names":false,"suffix":""},{"dropping-particle":"","family":"Wada","given":"Yoshihide","non-dropping-particle":"","parse-names":false,"suffix":""}],"container-title":"Environmental Research Letters","id":"ITEM-1","issue":"6","issued":{"date-parts":[["2019"]]},"title":"Non-renewable groundwater use and groundwater depletion: A review","type":"article-journal","volume":"14"},"uris":["http://www.mendeley.com/documents/?uuid=7764af5b-7e11-469f-8243-79cd2078ce95","http://www.mendeley.com/documents/?uuid=bfdd059e-abcd-4deb-8120-1e080cb937e6"]}],"mendeley":{"formattedCitation":"(Bierkens &amp; Wada, 2019)","plainTextFormattedCitation":"(Bierkens &amp; Wada, 2019)","previouslyFormattedCitation":"(Bierkens &amp; Wada, 2019)"},"properties":{"noteIndex":0},"schema":"https://github.com/citation-style-language/schema/raw/master/csl-citation.json"}</w:instrText>
      </w:r>
      <w:r>
        <w:rPr>
          <w:rFonts w:ascii="Times New Roman" w:hAnsi="Times New Roman" w:cs="Times New Roman"/>
        </w:rPr>
        <w:fldChar w:fldCharType="separate"/>
      </w:r>
      <w:r w:rsidRPr="00020B01">
        <w:rPr>
          <w:rFonts w:ascii="Times New Roman" w:hAnsi="Times New Roman" w:cs="Times New Roman"/>
          <w:noProof/>
        </w:rPr>
        <w:t>(Bierkens &amp; Wada, 2019)</w:t>
      </w:r>
      <w:r>
        <w:rPr>
          <w:rFonts w:ascii="Times New Roman" w:hAnsi="Times New Roman" w:cs="Times New Roman"/>
        </w:rPr>
        <w:fldChar w:fldCharType="end"/>
      </w:r>
      <w:r w:rsidRPr="007750F7">
        <w:rPr>
          <w:rFonts w:ascii="Times New Roman" w:hAnsi="Times New Roman" w:cs="Times New Roman"/>
        </w:rPr>
        <w:t>.</w:t>
      </w:r>
      <w:r>
        <w:rPr>
          <w:rFonts w:ascii="Times New Roman" w:hAnsi="Times New Roman" w:cs="Times New Roman"/>
        </w:rPr>
        <w:t xml:space="preserve"> </w:t>
      </w:r>
      <w:r w:rsidRPr="007750F7">
        <w:rPr>
          <w:rFonts w:ascii="Times New Roman" w:hAnsi="Times New Roman" w:cs="Times New Roman"/>
        </w:rPr>
        <w:t>Minna, located within the Nigerian Basement Complex of North Central Nigeria, has experienced rapid urban growth and increasing dependence on groundwater due to the limited efficiency of public water supply systems</w:t>
      </w:r>
      <w:r w:rsidR="00E24D90">
        <w:rPr>
          <w:rFonts w:ascii="Times New Roman" w:hAnsi="Times New Roman" w:cs="Times New Roman"/>
        </w:rPr>
        <w:t xml:space="preserve"> (Figure 1)</w:t>
      </w:r>
      <w:r w:rsidR="00082CD6">
        <w:rPr>
          <w:rFonts w:ascii="Times New Roman" w:hAnsi="Times New Roman" w:cs="Times New Roman"/>
        </w:rPr>
        <w:t xml:space="preserve"> </w:t>
      </w:r>
      <w:r w:rsidR="00082CD6">
        <w:rPr>
          <w:rFonts w:ascii="Times New Roman" w:hAnsi="Times New Roman" w:cs="Times New Roman"/>
        </w:rPr>
        <w:fldChar w:fldCharType="begin" w:fldLock="1"/>
      </w:r>
      <w:r w:rsidR="0003439D">
        <w:rPr>
          <w:rFonts w:ascii="Times New Roman" w:hAnsi="Times New Roman" w:cs="Times New Roman"/>
        </w:rPr>
        <w:instrText>ADDIN CSL_CITATION {"citationItems":[{"id":"ITEM-1","itemData":{"DOI":"10.1016/j.jenvman.2024.121191","ISSN":"10958630","PMID":"38759552","abstract":"Understanding the dynamics of urban landscapes and their impacts on ecological well-being is crucial for developing sustainable urban management strategies in times of rapid urbanisation. This study assesses the nature and drivers of the changing urban landscape and ecosystem services in cities located in the rainforest (Akure and Owerri) and guinea savannah (Makurdi and Minna) of Nigeria using a combination of remote sensing and socioeconomic techniques. Landsat 8 datasets provided spatial patterns of the normalised difference vegetation index (NDVI) and normalised difference built-up index (NDBI). A household survey involving the administration of a semi-structured questionnaire to 1552 participants was conducted. Diminishing NDVI and increasing NDBI were observed due to the rising trend of urban expansion, corroborating the perception of over 54% of the respondents who noted a decline in landscape ecological health. Residential expansion, agricultural practices, transport and infrastructural development, and fuelwood production were recognised as the principal drivers of landscape changes. Climate variability/change reportedly makes a 28.5%–34.4% (Negelkerke R2) contribution to the changing status of natural landscapes in Akure and Makurdi as modelled by multinomial logistic regression, while population growth/in-migration and economic activities reportedly account for 19.9%–36.3% in Owerri and Minna. Consequently, ecosystem services were perceived to have declined in their potential to regulate air and water pollution, reduce soil erosion and flooding, and mitigate urban heat stress, with a corresponding reduction in access to social services. We recommend that urban residents be integrated into management policies geared towards effectively developing and enforcing urban planning regulations, promoting urban afforestation, and establishing sustainable waste management systems.","author":[{"dropping-particle":"","family":"Obateru","given":"Rotimi Oluseyi","non-dropping-particle":"","parse-names":false,"suffix":""},{"dropping-particle":"","family":"Okhimamhe","given":"Appollonia Aimiosino","non-dropping-particle":"","parse-names":false,"suffix":""},{"dropping-particle":"","family":"Fashae","given":"Olutoyin Adeola","non-dropping-particle":"","parse-names":false,"suffix":""},{"dropping-particle":"","family":"Aweda","given":"Emmanuel","non-dropping-particle":"","parse-names":false,"suffix":""},{"dropping-particle":"","family":"Dragovich","given":"Deirdre","non-dropping-particle":"","parse-names":false,"suffix":""},{"dropping-particle":"","family":"Conrad","given":"Christopher","non-dropping-particle":"","parse-names":false,"suffix":""}],"container-title":"Journal of Environmental Management","id":"ITEM-1","issued":{"date-parts":[["2024"]]},"title":"Community-based assessment of the dynamics of urban landscape characteristics and ecosystem services in the rainforest and guinea savanna ecoregions of Nigeria","type":"article-journal","volume":"360"},"uris":["http://www.mendeley.com/documents/?uuid=30989518-5eaf-49e4-a87f-f71eb6ed3030"]}],"mendeley":{"formattedCitation":"(Obateru et al., 2024)","plainTextFormattedCitation":"(Obateru et al., 2024)","previouslyFormattedCitation":"(Obateru et al., 2024)"},"properties":{"noteIndex":0},"schema":"https://github.com/citation-style-language/schema/raw/master/csl-citation.json"}</w:instrText>
      </w:r>
      <w:r w:rsidR="00082CD6">
        <w:rPr>
          <w:rFonts w:ascii="Times New Roman" w:hAnsi="Times New Roman" w:cs="Times New Roman"/>
        </w:rPr>
        <w:fldChar w:fldCharType="separate"/>
      </w:r>
      <w:r w:rsidR="00082CD6" w:rsidRPr="00082CD6">
        <w:rPr>
          <w:rFonts w:ascii="Times New Roman" w:hAnsi="Times New Roman" w:cs="Times New Roman"/>
          <w:noProof/>
        </w:rPr>
        <w:t>(Obateru et al., 2024)</w:t>
      </w:r>
      <w:r w:rsidR="00082CD6">
        <w:rPr>
          <w:rFonts w:ascii="Times New Roman" w:hAnsi="Times New Roman" w:cs="Times New Roman"/>
        </w:rPr>
        <w:fldChar w:fldCharType="end"/>
      </w:r>
      <w:r w:rsidRPr="007750F7">
        <w:rPr>
          <w:rFonts w:ascii="Times New Roman" w:hAnsi="Times New Roman" w:cs="Times New Roman"/>
        </w:rPr>
        <w:t xml:space="preserve">. Borehole success rates in the region vary considerably, largely as a function of lithological variability and fracture-controlled permeability </w:t>
      </w:r>
      <w:r>
        <w:rPr>
          <w:rFonts w:ascii="Times New Roman" w:hAnsi="Times New Roman" w:cs="Times New Roman"/>
        </w:rPr>
        <w:fldChar w:fldCharType="begin" w:fldLock="1"/>
      </w:r>
      <w:r w:rsidR="007D5B49">
        <w:rPr>
          <w:rFonts w:ascii="Times New Roman" w:hAnsi="Times New Roman" w:cs="Times New Roman"/>
        </w:rPr>
        <w:instrText>ADDIN CSL_CITATION {"citationItems":[{"id":"ITEM-1","itemData":{"DOI":"10.1088/1748-9326/9/10/104003","ISSN":"17489326","abstract":"Overuse of surface water and an increasing reliance on nonrenewable groundwater resources have been reported over various regions of the world, casting significant doubt on the sustainable water supply and food production met by irrigation. To assess the limitations of global water resources, numerous indicators have been developed, but they rarely consider nonrenewable water use. In addition, surface water over-abstraction is rarely assessed in the context of human and environmental water needs. Here, we perform a transient assessment of global water use over the historical period 1960-2010 as well as the future projections of 2011-2099, using a newly developed indicator: the blue water sustainability index (BlWSI). The BlWSI incorporates both nonrenewable groundwater use and nonsustainable water use that compromises environmental flow requirements. Our results reveal an increasing trend of water consumed from nonsustainable surface water and groundwater resources over the historical period (</w:instrText>
      </w:r>
      <w:r w:rsidR="007D5B49">
        <w:rPr>
          <w:rFonts w:ascii="Cambria Math" w:hAnsi="Cambria Math" w:cs="Cambria Math"/>
        </w:rPr>
        <w:instrText>∼</w:instrText>
      </w:r>
      <w:r w:rsidR="007D5B49">
        <w:rPr>
          <w:rFonts w:ascii="Times New Roman" w:hAnsi="Times New Roman" w:cs="Times New Roman"/>
        </w:rPr>
        <w:instrText>30%), and this increase is projected to continue further towards the end of this century (</w:instrText>
      </w:r>
      <w:r w:rsidR="007D5B49">
        <w:rPr>
          <w:rFonts w:ascii="Cambria Math" w:hAnsi="Cambria Math" w:cs="Cambria Math"/>
        </w:rPr>
        <w:instrText>∼</w:instrText>
      </w:r>
      <w:r w:rsidR="007D5B49">
        <w:rPr>
          <w:rFonts w:ascii="Times New Roman" w:hAnsi="Times New Roman" w:cs="Times New Roman"/>
        </w:rPr>
        <w:instrText>40%). The global amount of nonsustainable water consumption has been increasing especially since the late 1990s, despite a wetter climate and increasing water availability during this period. The BlWSI is the first tool suitable for consistently evaluating the renewability and degradation of surface water and groundwater resources as a result of human water over-abstraction.","author":[{"dropping-particle":"","family":"Wada","given":"Yoshihide","non-dropping-particle":"","parse-names":false,"suffix":""},{"dropping-particle":"","family":"Bierkens","given":"Marc F.P.","non-dropping-particle":"","parse-names":false,"suffix":""}],"container-title":"Environmental Research Letters","id":"ITEM-1","issue":"10","issued":{"date-parts":[["2014"]]},"title":"Sustainability of global water use: Past reconstruction and future projections","type":"article-journal","volume":"9"},"uris":["http://www.mendeley.com/documents/?uuid=1d513a1a-f9ed-46fb-bc70-385dcea05f82","http://www.mendeley.com/documents/?uuid=c8d26264-b29d-491b-a3a3-acc37010b3de"]}],"mendeley":{"formattedCitation":"(Wada &amp; Bierkens, 2014)","plainTextFormattedCitation":"(Wada &amp; Bierkens, 2014)","previouslyFormattedCitation":"(Wada &amp; Bierkens, 2014)"},"properties":{"noteIndex":0},"schema":"https://github.com/citation-style-language/schema/raw/master/csl-citation.json"}</w:instrText>
      </w:r>
      <w:r>
        <w:rPr>
          <w:rFonts w:ascii="Times New Roman" w:hAnsi="Times New Roman" w:cs="Times New Roman"/>
        </w:rPr>
        <w:fldChar w:fldCharType="separate"/>
      </w:r>
      <w:r w:rsidRPr="00020B01">
        <w:rPr>
          <w:rFonts w:ascii="Times New Roman" w:hAnsi="Times New Roman" w:cs="Times New Roman"/>
          <w:noProof/>
        </w:rPr>
        <w:t>(Wada &amp; Bierkens, 2014)</w:t>
      </w:r>
      <w:r>
        <w:rPr>
          <w:rFonts w:ascii="Times New Roman" w:hAnsi="Times New Roman" w:cs="Times New Roman"/>
        </w:rPr>
        <w:fldChar w:fldCharType="end"/>
      </w:r>
      <w:r w:rsidRPr="007750F7">
        <w:rPr>
          <w:rFonts w:ascii="Times New Roman" w:hAnsi="Times New Roman" w:cs="Times New Roman"/>
        </w:rPr>
        <w:t xml:space="preserve">. </w:t>
      </w:r>
    </w:p>
    <w:p w14:paraId="70D368B3" w14:textId="77777777" w:rsidR="00E24D90" w:rsidRDefault="00E24D90" w:rsidP="00E24D90">
      <w:r w:rsidRPr="001F2797">
        <w:rPr>
          <w:noProof/>
        </w:rPr>
        <w:drawing>
          <wp:inline distT="0" distB="0" distL="0" distR="0" wp14:anchorId="230B9F1D" wp14:editId="0FE3D0D0">
            <wp:extent cx="5731510" cy="3820795"/>
            <wp:effectExtent l="19050" t="19050" r="21590" b="27305"/>
            <wp:docPr id="1536239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39234" name=""/>
                    <pic:cNvPicPr/>
                  </pic:nvPicPr>
                  <pic:blipFill>
                    <a:blip r:embed="rId10"/>
                    <a:stretch>
                      <a:fillRect/>
                    </a:stretch>
                  </pic:blipFill>
                  <pic:spPr>
                    <a:xfrm>
                      <a:off x="0" y="0"/>
                      <a:ext cx="5731510" cy="3820795"/>
                    </a:xfrm>
                    <a:prstGeom prst="rect">
                      <a:avLst/>
                    </a:prstGeom>
                    <a:ln>
                      <a:solidFill>
                        <a:schemeClr val="bg1"/>
                      </a:solidFill>
                    </a:ln>
                  </pic:spPr>
                </pic:pic>
              </a:graphicData>
            </a:graphic>
          </wp:inline>
        </w:drawing>
      </w:r>
    </w:p>
    <w:p w14:paraId="79649741" w14:textId="77777777" w:rsidR="00E24D90" w:rsidRDefault="00E24D90" w:rsidP="00E24D90">
      <w:pPr>
        <w:ind w:left="2160" w:firstLine="720"/>
      </w:pPr>
      <w:r w:rsidRPr="00AA35FA">
        <w:rPr>
          <w:rFonts w:ascii="Times New Roman" w:hAnsi="Times New Roman" w:cs="Times New Roman"/>
          <w:bCs/>
        </w:rPr>
        <w:t>Figure</w:t>
      </w:r>
      <w:r w:rsidRPr="00AA35FA">
        <w:rPr>
          <w:rFonts w:ascii="Times New Roman" w:hAnsi="Times New Roman" w:cs="Times New Roman"/>
          <w:bCs/>
          <w:spacing w:val="-5"/>
        </w:rPr>
        <w:t xml:space="preserve"> </w:t>
      </w:r>
      <w:r w:rsidRPr="00AA35FA">
        <w:rPr>
          <w:rFonts w:ascii="Times New Roman" w:hAnsi="Times New Roman" w:cs="Times New Roman"/>
          <w:bCs/>
        </w:rPr>
        <w:t>1</w:t>
      </w:r>
      <w:r w:rsidRPr="00481947">
        <w:rPr>
          <w:rFonts w:ascii="Times New Roman" w:hAnsi="Times New Roman" w:cs="Times New Roman"/>
        </w:rPr>
        <w:t>:</w:t>
      </w:r>
      <w:r w:rsidRPr="00481947">
        <w:rPr>
          <w:rFonts w:ascii="Times New Roman" w:hAnsi="Times New Roman" w:cs="Times New Roman"/>
          <w:spacing w:val="-4"/>
        </w:rPr>
        <w:t xml:space="preserve"> </w:t>
      </w:r>
      <w:r w:rsidRPr="00481947">
        <w:rPr>
          <w:rFonts w:ascii="Times New Roman" w:hAnsi="Times New Roman" w:cs="Times New Roman"/>
        </w:rPr>
        <w:t>Map</w:t>
      </w:r>
      <w:r w:rsidRPr="00481947">
        <w:rPr>
          <w:rFonts w:ascii="Times New Roman" w:hAnsi="Times New Roman" w:cs="Times New Roman"/>
          <w:spacing w:val="-3"/>
        </w:rPr>
        <w:t xml:space="preserve"> </w:t>
      </w:r>
      <w:r w:rsidRPr="00481947">
        <w:rPr>
          <w:rFonts w:ascii="Times New Roman" w:hAnsi="Times New Roman" w:cs="Times New Roman"/>
        </w:rPr>
        <w:t>of</w:t>
      </w:r>
      <w:r w:rsidRPr="00481947">
        <w:rPr>
          <w:rFonts w:ascii="Times New Roman" w:hAnsi="Times New Roman" w:cs="Times New Roman"/>
          <w:spacing w:val="-2"/>
        </w:rPr>
        <w:t xml:space="preserve"> </w:t>
      </w:r>
      <w:r w:rsidRPr="00481947">
        <w:rPr>
          <w:rFonts w:ascii="Times New Roman" w:hAnsi="Times New Roman" w:cs="Times New Roman"/>
        </w:rPr>
        <w:t>the</w:t>
      </w:r>
      <w:r w:rsidRPr="00481947">
        <w:rPr>
          <w:rFonts w:ascii="Times New Roman" w:hAnsi="Times New Roman" w:cs="Times New Roman"/>
          <w:spacing w:val="-4"/>
        </w:rPr>
        <w:t xml:space="preserve"> </w:t>
      </w:r>
      <w:r w:rsidRPr="00481947">
        <w:rPr>
          <w:rFonts w:ascii="Times New Roman" w:hAnsi="Times New Roman" w:cs="Times New Roman"/>
        </w:rPr>
        <w:t>study</w:t>
      </w:r>
      <w:r w:rsidRPr="00481947">
        <w:rPr>
          <w:rFonts w:ascii="Times New Roman" w:hAnsi="Times New Roman" w:cs="Times New Roman"/>
          <w:spacing w:val="-5"/>
        </w:rPr>
        <w:t xml:space="preserve"> </w:t>
      </w:r>
      <w:r w:rsidRPr="00481947">
        <w:rPr>
          <w:rFonts w:ascii="Times New Roman" w:hAnsi="Times New Roman" w:cs="Times New Roman"/>
          <w:spacing w:val="-4"/>
        </w:rPr>
        <w:t>area</w:t>
      </w:r>
    </w:p>
    <w:p w14:paraId="4A771ACE" w14:textId="1D5DF7AB" w:rsidR="0003439D" w:rsidRDefault="008236C2" w:rsidP="00171642">
      <w:pPr>
        <w:rPr>
          <w:rFonts w:ascii="Times New Roman" w:hAnsi="Times New Roman" w:cs="Times New Roman"/>
        </w:rPr>
      </w:pPr>
      <w:r w:rsidRPr="007750F7">
        <w:rPr>
          <w:rFonts w:ascii="Times New Roman" w:hAnsi="Times New Roman" w:cs="Times New Roman"/>
        </w:rPr>
        <w:t xml:space="preserve">Although previous investigations have described the regional geology and general hydrogeology of Minna and adjacent sheets, a detailed quantitative evaluation of groundwater flow dynamics and structural controls in parts of Minna Sheet 164 SW remains limited </w:t>
      </w:r>
      <w:r>
        <w:rPr>
          <w:rFonts w:ascii="Times New Roman" w:hAnsi="Times New Roman" w:cs="Times New Roman"/>
        </w:rPr>
        <w:fldChar w:fldCharType="begin" w:fldLock="1"/>
      </w:r>
      <w:r w:rsidR="007D5B49">
        <w:rPr>
          <w:rFonts w:ascii="Times New Roman" w:hAnsi="Times New Roman" w:cs="Times New Roman"/>
        </w:rPr>
        <w:instrText>ADDIN CSL_CITATION {"citationItems":[{"id":"ITEM-1","itemData":{"DOI":"10.1007/s10040-004-0411-8","ISSN":"14312174","author":[{"dropping-particle":"","family":"Konikow","given":"Leonard F.","non-dropping-particle":"","parse-names":false,"suffix":""},{"dropping-particle":"","family":"Kendy","given":"Eloise","non-dropping-particle":"","parse-names":false,"suffix":""}],"container-title":"Hydrogeology Journal","id":"ITEM-1","issue":"1","issued":{"date-parts":[["2005"]]},"page":"317-320","title":"Groundwater depletion: A global problem","type":"article-journal","volume":"13"},"uris":["http://www.mendeley.com/documents/?uuid=7f148275-f039-4c56-acf2-a3af1ad2a525","http://www.mendeley.com/documents/?uuid=a998a32a-9206-43ed-9b59-b4f479628aca"]}],"mendeley":{"formattedCitation":"(Konikow &amp; Kendy, 2005)","plainTextFormattedCitation":"(Konikow &amp; Kendy, 2005)","previouslyFormattedCitation":"(Konikow &amp; Kendy, 2005)"},"properties":{"noteIndex":0},"schema":"https://github.com/citation-style-language/schema/raw/master/csl-citation.json"}</w:instrText>
      </w:r>
      <w:r>
        <w:rPr>
          <w:rFonts w:ascii="Times New Roman" w:hAnsi="Times New Roman" w:cs="Times New Roman"/>
        </w:rPr>
        <w:fldChar w:fldCharType="separate"/>
      </w:r>
      <w:r w:rsidRPr="00020B01">
        <w:rPr>
          <w:rFonts w:ascii="Times New Roman" w:hAnsi="Times New Roman" w:cs="Times New Roman"/>
          <w:noProof/>
        </w:rPr>
        <w:t>(Konikow &amp; Kendy, 2005)</w:t>
      </w:r>
      <w:r>
        <w:rPr>
          <w:rFonts w:ascii="Times New Roman" w:hAnsi="Times New Roman" w:cs="Times New Roman"/>
        </w:rPr>
        <w:fldChar w:fldCharType="end"/>
      </w:r>
      <w:r w:rsidRPr="007750F7">
        <w:rPr>
          <w:rFonts w:ascii="Times New Roman" w:hAnsi="Times New Roman" w:cs="Times New Roman"/>
        </w:rPr>
        <w:t>.</w:t>
      </w:r>
      <w:r>
        <w:rPr>
          <w:rFonts w:ascii="Times New Roman" w:hAnsi="Times New Roman" w:cs="Times New Roman"/>
        </w:rPr>
        <w:t xml:space="preserve"> </w:t>
      </w:r>
      <w:r w:rsidRPr="007750F7">
        <w:rPr>
          <w:rFonts w:ascii="Times New Roman" w:hAnsi="Times New Roman" w:cs="Times New Roman"/>
        </w:rPr>
        <w:t>In particular, few studies have integrated systematic well inventory data with structural</w:t>
      </w:r>
      <w:r w:rsidR="0003439D">
        <w:rPr>
          <w:rFonts w:ascii="Times New Roman" w:hAnsi="Times New Roman" w:cs="Times New Roman"/>
        </w:rPr>
        <w:t xml:space="preserve"> </w:t>
      </w:r>
      <w:r w:rsidRPr="007750F7">
        <w:rPr>
          <w:rFonts w:ascii="Times New Roman" w:hAnsi="Times New Roman" w:cs="Times New Roman"/>
        </w:rPr>
        <w:t>orientation analysis to quantitatively assess the relationship between fracture systems and groundwater flow direction in this part of the basement complex</w:t>
      </w:r>
      <w:r w:rsidR="0023360E">
        <w:rPr>
          <w:rFonts w:ascii="Times New Roman" w:hAnsi="Times New Roman" w:cs="Times New Roman"/>
        </w:rPr>
        <w:t xml:space="preserve"> </w:t>
      </w:r>
      <w:r w:rsidR="007D5B49">
        <w:rPr>
          <w:rFonts w:ascii="Times New Roman" w:hAnsi="Times New Roman" w:cs="Times New Roman"/>
        </w:rPr>
        <w:fldChar w:fldCharType="begin" w:fldLock="1"/>
      </w:r>
      <w:r w:rsidR="00082CD6">
        <w:rPr>
          <w:rFonts w:ascii="Times New Roman" w:hAnsi="Times New Roman" w:cs="Times New Roman"/>
        </w:rPr>
        <w:instrText>ADDIN CSL_CITATION {"citationItems":[{"id":"ITEM-1","itemData":{"DOI":"10.1007/s10040-024-02766-2","ISSN":"14350157","abstract":"In Chad, hard-rock aquifers are the main source of drinking water for the population located on basement areas. In these basement aquifers, and in particular those of the Guéra region, water drilling failure rates remain high despite research on one- and two-dimensional electrical resistivity techniques and lineaments as a means to improve access to the resource, mainly because these techniques are only used on an observational and structural basis to locate fractures. This study combines electrical resistivity tomography (ERT) with geology, hydrogeology and geomorphology, in order to characterise the structure and geometry of the aquifer system, assess borehole productivity and determine the factors controlling it. After validating the large dataset and its representativeness, 315 high- and low-yield wells, of which 41 have complete geophysical datasets, were selected. This large dataset allows a multi-parameter approach to (1) better characterise each facies according to its electrical resistivity and (2) clearly identify the main formations constituting the local conceptual hydrogeological model. The most suitable areas for productive boreholes are characterised by the presence of an overburden of &lt;20 m depth, well-developed weathered and fractured horizons of granites and biotite granites (preferably) containing little or no clay, and a nearby drainage network. The most substantial flow rates are found in the first 30 m of the fissured horizon, below the base of the alterites. The experience gained from the present study will guide future analysis of ERT sections in order to reduce the probability of drilling dry wells.","author":[{"dropping-particle":"","family":"Nouradine","given":"H.","non-dropping-particle":"","parse-names":false,"suffix":""},{"dropping-particle":"","family":"Schamper","given":"C.","non-dropping-particle":"","parse-names":false,"suffix":""},{"dropping-particle":"","family":"Valdes","given":"D.","non-dropping-particle":"","parse-names":false,"suffix":""},{"dropping-particle":"","family":"Moussa","given":"I.","non-dropping-particle":"","parse-names":false,"suffix":""},{"dropping-particle":"","family":"Ramel","given":"D.","non-dropping-particle":"","parse-names":false,"suffix":""},{"dropping-particle":"","family":"Plagnes","given":"V.","non-dropping-particle":"","parse-names":false,"suffix":""}],"container-title":"Hydrogeology Journal","id":"ITEM-1","issue":"3","issued":{"date-parts":[["2024"]]},"page":"759-784","title":"Integrating geological, hydrogeological and geophysical data to identify groundwater resources in granitic basement areas (Guéra Massif, Chad)","type":"article-journal","volume":"32"},"uris":["http://www.mendeley.com/documents/?uuid=984b1caf-f6a1-4406-82c0-94c60128fad6"]},{"id":"ITEM-2","itemData":{"DOI":"10.1007/s10040-021-02312-4","ISSN":"14350157","abstract":"Productive regions in the Crystalline Basement Aquifer System (CBAS) in Paraná state, Brazil, were identified qualitatively and quantitatively through spatial correlation of wells and geological conditions such as lineaments, hydrography, aeromagnetometry and lithology. Different methods applied in Precambrian metamorphic and igneous aquifers around the world and some Brazilian states were integrated and applied in CBAS with the aim of understanding the best scale and approach to productivity. The median productivity of the 224 wells analyzed is 0.29 m3/h/m. Under a multi-scale regional assessment, the results showed that the best condition is associated with the distance of 350 m from the lineaments (1:100,000), especially those with directions N40W, N10E and N70E. Considering the hydrolithological units, gneisses are the most productive, especially where lineaments coincide with regional structures such as shear zones, foliations and Cenozoic tectonic reactivations. Quartzites, granitoids, schists, phyllites, and rhyolites were also favorable when close to important rivers and not necessarily coinciding with regional lineaments, the high density of lineaments, or with vertical fractures. The areas of intersection of the lineaments and the weathering mantle did not serve as a discriminatory parameter. As the median depths of the water wells reach 90 m from the surface, the extraction of oriented magnetic gradients referred to magnetic sources down to 800 m depth, thus corroborating surface mapped lineaments and new nonoutcroppable structures. Considering the complexity of the environment and the global use of groundwater from fractured aquifers, this work contributed by discriminating geospatial parameters to decrease the exploratory risk in CBAS.","author":[{"dropping-particle":"","family":"Pires","given":"C. A.","non-dropping-particle":"","parse-names":false,"suffix":""},{"dropping-particle":"","family":"Athayde","given":"G. B.","non-dropping-particle":"","parse-names":false,"suffix":""},{"dropping-particle":"","family":"Souza Filho","given":"O. A.","non-dropping-particle":"de","parse-names":false,"suffix":""},{"dropping-particle":"","family":"Ofterdinger","given":"U.","non-dropping-particle":"","parse-names":false,"suffix":""}],"container-title":"Hydrogeology Journal","id":"ITEM-2","issue":"4","issued":{"date-parts":[["2021"]]},"page":"1657-1678","title":"Litho-structural conditioning in the exploration of fractured aquifers: a case study in the Crystalline Basement Aquifer System of Brazil","type":"article-journal","volume":"29"},"uris":["http://www.mendeley.com/documents/?uuid=d9c55782-9f76-433a-b8f7-79705ccea389"]}],"mendeley":{"formattedCitation":"(Nouradine et al., 2024; Pires et al., 2021)","plainTextFormattedCitation":"(Nouradine et al., 2024; Pires et al., 2021)","previouslyFormattedCitation":"(Nouradine et al., 2024; Pires et al., 2021)"},"properties":{"noteIndex":0},"schema":"https://github.com/citation-style-language/schema/raw/master/csl-citation.json"}</w:instrText>
      </w:r>
      <w:r w:rsidR="007D5B49">
        <w:rPr>
          <w:rFonts w:ascii="Times New Roman" w:hAnsi="Times New Roman" w:cs="Times New Roman"/>
        </w:rPr>
        <w:fldChar w:fldCharType="separate"/>
      </w:r>
      <w:r w:rsidR="00AC20AB" w:rsidRPr="00AC20AB">
        <w:rPr>
          <w:rFonts w:ascii="Times New Roman" w:hAnsi="Times New Roman" w:cs="Times New Roman"/>
          <w:noProof/>
        </w:rPr>
        <w:t>(Nouradine et al., 2024; Pires et al., 2021)</w:t>
      </w:r>
      <w:r w:rsidR="007D5B49">
        <w:rPr>
          <w:rFonts w:ascii="Times New Roman" w:hAnsi="Times New Roman" w:cs="Times New Roman"/>
        </w:rPr>
        <w:fldChar w:fldCharType="end"/>
      </w:r>
      <w:r w:rsidRPr="007750F7">
        <w:rPr>
          <w:rFonts w:ascii="Times New Roman" w:hAnsi="Times New Roman" w:cs="Times New Roman"/>
        </w:rPr>
        <w:t xml:space="preserve">. Understanding this relationship is essential in crystalline terrains, where groundwater movement is strongly influenced by structural anisotropy rather than primary porosity </w:t>
      </w:r>
      <w:r>
        <w:rPr>
          <w:rFonts w:ascii="Times New Roman" w:hAnsi="Times New Roman" w:cs="Times New Roman"/>
        </w:rPr>
        <w:fldChar w:fldCharType="begin" w:fldLock="1"/>
      </w:r>
      <w:r w:rsidR="007D5B49">
        <w:rPr>
          <w:rFonts w:ascii="Times New Roman" w:hAnsi="Times New Roman" w:cs="Times New Roman"/>
        </w:rPr>
        <w:instrText>ADDIN CSL_CITATION {"citationItems":[{"id":"ITEM-1","itemData":{"DOI":"10.1016/j.catena.2020.104681","ISSN":"03418162","abstract":"Over-extraction of groundwater has compromised its climatic resilience properties and the arid/semi-arid rural tracts are becoming increasingly vulnerable to the risks of groundwater scarcity. This study has employed a combination of Geographical Information System (GIS) and Analytical Hierarchical Process (AHP) techniques to delineate the Groundwater Potential Zones (GPZs) of the semi-arid Birbhum district in eastern India which suffers from seasonal drought during lean periods. For a reliable evaluation, a large number of thematic layers (N = 12) including geology, geomorphology, Land Use/Land Cover (LULC), fault and lineament density, drainage density, rainfall, soil type, slope, roughness, topographic wetness index, topographic position index and curvature were considered for this assessment. Multicollinearity and consistency checks were performed prior integrating the layers to avoid a non-trivial degree of accuracy in prediction output. The GPZ map was obtained with an accuracy of 80.49% with respect to the observation tube well data. Based on the obtained output, 38.24%, 24.24% and 11.14% of areas of the district classified as moderate, poor, and very poor GPZs, respectively, whereas only 26.38% of the district classified as high to very high GPZs. Cross-validation using the Receiver Operating Characteristic curve revealed a good prediction accuracy of 71.50%. Furthermore, map removal and single parameter sensitivity analysis was also performed which revealed geology, geomorphology, soil types, rainfall, LULC and lineament density as the most influential parameters for the prediction model where exclusion of any thematic layer significantly changes the prediction accuracy and area of each GPZ class. The most convincing GPZs are recorded in some parts of the Mayurakshi and Ajay river basins and certain alluvial aquifer regions. Nonetheless, the study recommends the adaptation of Managed Aquifer Recharge techniques including rainwater harvesting, alternative cropping patterns and irrigation techniques such as sprinklers, drips and micro irrigations to increase the groundwater potential of the water crisis zones.","author":[{"dropping-particle":"","family":"Mukherjee","given":"Indrani","non-dropping-particle":"","parse-names":false,"suffix":""},{"dropping-particle":"","family":"Singh","given":"Umesh Kumar","non-dropping-particle":"","parse-names":false,"suffix":""}],"container-title":"Catena","id":"ITEM-1","issued":{"date-parts":[["2020"]]},"title":"Delineation of groundwater potential zones in a drought-prone semi-arid region of east India using GIS and analytical hierarchical process techniques","type":"article-journal","volume":"194"},"uris":["http://www.mendeley.com/documents/?uuid=c13c8ae2-1a51-4c91-a043-3981f2011961","http://www.mendeley.com/documents/?uuid=fb10295c-ec0b-4655-a6e8-91186dac55d7"]}],"mendeley":{"formattedCitation":"(Mukherjee &amp; Singh, 2020)","plainTextFormattedCitation":"(Mukherjee &amp; Singh, 2020)","previouslyFormattedCitation":"(Mukherjee &amp; Singh, 2020)"},"properties":{"noteIndex":0},"schema":"https://github.com/citation-style-language/schema/raw/master/csl-citation.json"}</w:instrText>
      </w:r>
      <w:r>
        <w:rPr>
          <w:rFonts w:ascii="Times New Roman" w:hAnsi="Times New Roman" w:cs="Times New Roman"/>
        </w:rPr>
        <w:fldChar w:fldCharType="separate"/>
      </w:r>
      <w:r w:rsidRPr="00020B01">
        <w:rPr>
          <w:rFonts w:ascii="Times New Roman" w:hAnsi="Times New Roman" w:cs="Times New Roman"/>
          <w:noProof/>
        </w:rPr>
        <w:t>(Mukherjee &amp; Singh, 2020)</w:t>
      </w:r>
      <w:r>
        <w:rPr>
          <w:rFonts w:ascii="Times New Roman" w:hAnsi="Times New Roman" w:cs="Times New Roman"/>
        </w:rPr>
        <w:fldChar w:fldCharType="end"/>
      </w:r>
      <w:r w:rsidRPr="007750F7">
        <w:rPr>
          <w:rFonts w:ascii="Times New Roman" w:hAnsi="Times New Roman" w:cs="Times New Roman"/>
        </w:rPr>
        <w:t xml:space="preserve">. Mapping the </w:t>
      </w:r>
      <w:r w:rsidRPr="007750F7">
        <w:rPr>
          <w:rFonts w:ascii="Times New Roman" w:hAnsi="Times New Roman" w:cs="Times New Roman"/>
        </w:rPr>
        <w:lastRenderedPageBreak/>
        <w:t xml:space="preserve">potentiometric surface and quantifying hydraulic gradients are fundamental to identifying recharge and discharge zones, predicting contaminant transport pathways, and guiding sustainable well placement </w:t>
      </w:r>
      <w:r>
        <w:rPr>
          <w:rFonts w:ascii="Times New Roman" w:hAnsi="Times New Roman" w:cs="Times New Roman"/>
        </w:rPr>
        <w:fldChar w:fldCharType="begin" w:fldLock="1"/>
      </w:r>
      <w:r w:rsidR="00A36C19">
        <w:rPr>
          <w:rFonts w:ascii="Times New Roman" w:hAnsi="Times New Roman" w:cs="Times New Roman"/>
        </w:rPr>
        <w:instrText>ADDIN CSL_CITATION {"citationItems":[{"id":"ITEM-1","itemData":{"DOI":"10.4314/jmg.v42i1.18843","ISSN":"11162775","abstract":"Water resources administration is the rational development of water resources for improvement of human or public welfare. In the past, the development of water resources was viewed as a problem in technology. Water resources development is now viewed in a broader perspective, with technological, legal, political, social, economic, financial and as well as environmental considerations. The present arrangement for water resources administration in Nigeria is ineffective for the provision of water to the general populace despite the huge expenditure of public funds on water projects. The present status of water resources administration in Nigeria is characterized by conflicting interests in water resources planning and project execution among different levels of government and between different agencies of government at each level of government. These findings, among others, have long-term implications for effective water resources development. A study of water resources administration in other countries, notably the United States, reveals three major alternative models of water resources administration, any one of which is recommended for adoption by Nigerian authorities, with suitable modification in tactics, but not in overall strategy. Each of these three alternative models is characterized by significant citizen participation at all levels, and at all stages of the decision-making process. One model organizes water institutions by level of government, where each state is responsible for all aspects of water resources administration, as found in the Colorado River Basin. A second model organizes water agencies on the basis of regional, basin-wide executive agencies, such as the Tennessee Valley Authority (TVA). A third model adopts a mixed-strategy. Certain areas will have TVA-type executive agencies, while other areas will have no TVA-type agency, but the states would then be responsible for all aspects of water resources administration and development. This model prevails over much of the United States. The choice of an overall model, encompassing appropriate strategy and tactics, for water resources administration in Nigeria, may well depend on the final political map of the country, based on the relationship between the federal government and constituent states. These alternative institutional models for water resources administration are also recommended for consideration and adoption by other developing countries. © Nigerian Mining and Geoscience…","author":[{"dropping-particle":"","family":"Ajayi","given":"O.","non-dropping-particle":"","parse-names":false,"suffix":""}],"container-title":"Journal of Mining and Geology","id":"ITEM-1","issue":"1","issued":{"date-parts":[["2006"]]},"page":"41-50","title":"Strategy for effective administration of water resources development in Nigeria","type":"article-journal","volume":"42"},"uris":["http://www.mendeley.com/documents/?uuid=862f22e9-ca32-4547-8590-3b3c4f1d1841","http://www.mendeley.com/documents/?uuid=28984e47-2b24-4b06-b4e7-fd099e84aba0"]},{"id":"ITEM-2","itemData":{"DOI":"10.1016/j.jhydrol.2022.128993","ISSN":"00221694","abstract":"Identifying groundwater flow directions and the locations of recharge and discharge areas is critical for effective groundwater management. Groundwater flow directions, the concavity and the locations of extrema (i.e., minima and maxima) can be assessed using the first and second derivatives of the hydraulic head surface. We developed a geostatistical method to jointly simulate hydraulic head and its first and second derivatives using sequential Gaussian simulation. The derivative values were used to identify regional groundwater flow directions, and the second derivative test was used to probabilistically map the concavity and the locations of extrema in the hydraulic head surface. By comparing the mapped concavity and extrema to known features, it was possible to attribute areas of recharge and discharge to physical features of the system, such as rivers, lakes and geological outcrops. This was applied to Triassic aquifers in the Galilee Basin (Queensland, Australia) to delineate the likely recharge and discharge areas. This provided an objective assessment of likely recharge and discharge zones and their uncertainty, which is an important addition to a region where the hydrogeology has been the subject of much conjecture.","author":[{"dropping-particle":"","family":"Keegan-Treloar","given":"Robin","non-dropping-particle":"","parse-names":false,"suffix":""},{"dropping-particle":"","family":"Irvine","given":"Dylan J.","non-dropping-particle":"","parse-names":false,"suffix":""},{"dropping-particle":"","family":"Werner","given":"Adrian D.","non-dropping-particle":"","parse-names":false,"suffix":""},{"dropping-particle":"","family":"Banks","given":"Eddie W.","non-dropping-particle":"","parse-names":false,"suffix":""}],"container-title":"Journal of Hydrology","id":"ITEM-2","issued":{"date-parts":[["2023"]]},"title":"Identifying groundwater recharge and discharge zones using geostatistical simulation of hydraulic head and its derivatives","type":"article-journal","volume":"617"},"uris":["http://www.mendeley.com/documents/?uuid=681b0d59-8d8d-416a-8194-61e56c4624b6"]}],"mendeley":{"formattedCitation":"(Ajayi, 2006; Keegan-Treloar et al., 2023)","plainTextFormattedCitation":"(Ajayi, 2006; Keegan-Treloar et al., 2023)","previouslyFormattedCitation":"(Ajayi, 2006; Keegan-Treloar et al., 2023)"},"properties":{"noteIndex":0},"schema":"https://github.com/citation-style-language/schema/raw/master/csl-citation.json"}</w:instrText>
      </w:r>
      <w:r>
        <w:rPr>
          <w:rFonts w:ascii="Times New Roman" w:hAnsi="Times New Roman" w:cs="Times New Roman"/>
        </w:rPr>
        <w:fldChar w:fldCharType="separate"/>
      </w:r>
      <w:r w:rsidR="0003439D" w:rsidRPr="0003439D">
        <w:rPr>
          <w:rFonts w:ascii="Times New Roman" w:hAnsi="Times New Roman" w:cs="Times New Roman"/>
          <w:noProof/>
        </w:rPr>
        <w:t>(Ajayi, 2006; Keegan-Treloar et al., 2023)</w:t>
      </w:r>
      <w:r>
        <w:rPr>
          <w:rFonts w:ascii="Times New Roman" w:hAnsi="Times New Roman" w:cs="Times New Roman"/>
        </w:rPr>
        <w:fldChar w:fldCharType="end"/>
      </w:r>
      <w:r w:rsidRPr="007750F7">
        <w:rPr>
          <w:rFonts w:ascii="Times New Roman" w:hAnsi="Times New Roman" w:cs="Times New Roman"/>
        </w:rPr>
        <w:t>.</w:t>
      </w:r>
      <w:r>
        <w:rPr>
          <w:rFonts w:ascii="Times New Roman" w:hAnsi="Times New Roman" w:cs="Times New Roman"/>
        </w:rPr>
        <w:t xml:space="preserve"> </w:t>
      </w:r>
    </w:p>
    <w:p w14:paraId="53D92453" w14:textId="444D1DA1" w:rsidR="00452A9C" w:rsidRDefault="008236C2" w:rsidP="00171642">
      <w:r w:rsidRPr="007750F7">
        <w:rPr>
          <w:rFonts w:ascii="Times New Roman" w:hAnsi="Times New Roman" w:cs="Times New Roman"/>
        </w:rPr>
        <w:t>Additionally, overburden thickness (vadose zone thickness) plays a critical role in intrinsic aquifer vulnerability. Thin weathered profiles, common in granitic terrains, may reduce natural attenuation capacity and increase susceptibility to surface-derived contamination. However, vulnerability interpretation must distinguish between conceptual hydrogeological indicators and quantitative index-based modelling approaches (Acey, 2019).</w:t>
      </w:r>
      <w:r>
        <w:rPr>
          <w:rFonts w:ascii="Times New Roman" w:hAnsi="Times New Roman" w:cs="Times New Roman"/>
        </w:rPr>
        <w:t xml:space="preserve"> </w:t>
      </w:r>
      <w:r w:rsidRPr="007750F7">
        <w:rPr>
          <w:rFonts w:ascii="Times New Roman" w:hAnsi="Times New Roman" w:cs="Times New Roman"/>
        </w:rPr>
        <w:t xml:space="preserve">The study focuses on parts of Minna Sheet 164 SW, bounded by latitude </w:t>
      </w:r>
      <w:proofErr w:type="spellStart"/>
      <w:r w:rsidRPr="007750F7">
        <w:rPr>
          <w:rFonts w:ascii="Times New Roman" w:hAnsi="Times New Roman" w:cs="Times New Roman"/>
        </w:rPr>
        <w:t>9°35′00″N</w:t>
      </w:r>
      <w:proofErr w:type="spellEnd"/>
      <w:r w:rsidRPr="007750F7">
        <w:rPr>
          <w:rFonts w:ascii="Times New Roman" w:hAnsi="Times New Roman" w:cs="Times New Roman"/>
        </w:rPr>
        <w:t xml:space="preserve"> to </w:t>
      </w:r>
      <w:proofErr w:type="spellStart"/>
      <w:r w:rsidRPr="007750F7">
        <w:rPr>
          <w:rFonts w:ascii="Times New Roman" w:hAnsi="Times New Roman" w:cs="Times New Roman"/>
        </w:rPr>
        <w:t>9°40′00″N</w:t>
      </w:r>
      <w:proofErr w:type="spellEnd"/>
      <w:r w:rsidRPr="007750F7">
        <w:rPr>
          <w:rFonts w:ascii="Times New Roman" w:hAnsi="Times New Roman" w:cs="Times New Roman"/>
        </w:rPr>
        <w:t xml:space="preserve"> and longitude </w:t>
      </w:r>
      <w:proofErr w:type="spellStart"/>
      <w:r w:rsidRPr="007750F7">
        <w:rPr>
          <w:rFonts w:ascii="Times New Roman" w:hAnsi="Times New Roman" w:cs="Times New Roman"/>
        </w:rPr>
        <w:t>6°30′E</w:t>
      </w:r>
      <w:proofErr w:type="spellEnd"/>
      <w:r w:rsidRPr="007750F7">
        <w:rPr>
          <w:rFonts w:ascii="Times New Roman" w:hAnsi="Times New Roman" w:cs="Times New Roman"/>
        </w:rPr>
        <w:t xml:space="preserve"> to </w:t>
      </w:r>
      <w:proofErr w:type="spellStart"/>
      <w:r w:rsidRPr="007750F7">
        <w:rPr>
          <w:rFonts w:ascii="Times New Roman" w:hAnsi="Times New Roman" w:cs="Times New Roman"/>
        </w:rPr>
        <w:t>6°35′E</w:t>
      </w:r>
      <w:proofErr w:type="spellEnd"/>
      <w:r w:rsidRPr="007750F7">
        <w:rPr>
          <w:rFonts w:ascii="Times New Roman" w:hAnsi="Times New Roman" w:cs="Times New Roman"/>
        </w:rPr>
        <w:t xml:space="preserve">, covering approximately 81 </w:t>
      </w:r>
      <w:proofErr w:type="spellStart"/>
      <w:r w:rsidRPr="007750F7">
        <w:rPr>
          <w:rFonts w:ascii="Times New Roman" w:hAnsi="Times New Roman" w:cs="Times New Roman"/>
        </w:rPr>
        <w:t>km²</w:t>
      </w:r>
      <w:proofErr w:type="spellEnd"/>
      <w:r w:rsidRPr="007750F7">
        <w:rPr>
          <w:rFonts w:ascii="Times New Roman" w:hAnsi="Times New Roman" w:cs="Times New Roman"/>
        </w:rPr>
        <w:t xml:space="preserve"> and underlain predominantly by granitic rocks with localized schist occurrences. Within this context, this study aims to provide a quantitative hydrogeological framework by constructing a detailed potentiometric surface map from systematic hand-dug well inventory data, quantifying groundwater flow direction and hydraulic gradient using geostatistical interpolation, evaluating the influence of joint orientation on subsurface flow patterns, and assessing aquifer vulnerability based on overburden thickness and first-order recharge estimation</w:t>
      </w:r>
      <w:r w:rsidR="0003439D">
        <w:rPr>
          <w:rFonts w:ascii="Times New Roman" w:hAnsi="Times New Roman" w:cs="Times New Roman"/>
        </w:rPr>
        <w:t xml:space="preserve"> </w:t>
      </w:r>
      <w:proofErr w:type="spellStart"/>
      <w:r w:rsidRPr="00243E2E">
        <w:rPr>
          <w:rFonts w:ascii="Times New Roman" w:hAnsi="Times New Roman" w:cs="Times New Roman"/>
        </w:rPr>
        <w:t>9°40′00″N</w:t>
      </w:r>
      <w:proofErr w:type="spellEnd"/>
      <w:r w:rsidRPr="00243E2E">
        <w:rPr>
          <w:rFonts w:ascii="Times New Roman" w:hAnsi="Times New Roman" w:cs="Times New Roman"/>
        </w:rPr>
        <w:t xml:space="preserve"> and Longitude </w:t>
      </w:r>
      <w:proofErr w:type="spellStart"/>
      <w:r w:rsidRPr="00243E2E">
        <w:rPr>
          <w:rFonts w:ascii="Times New Roman" w:hAnsi="Times New Roman" w:cs="Times New Roman"/>
        </w:rPr>
        <w:t>6°30′E</w:t>
      </w:r>
      <w:proofErr w:type="spellEnd"/>
      <w:r w:rsidRPr="00243E2E">
        <w:rPr>
          <w:rFonts w:ascii="Times New Roman" w:hAnsi="Times New Roman" w:cs="Times New Roman"/>
        </w:rPr>
        <w:t xml:space="preserve"> to </w:t>
      </w:r>
      <w:proofErr w:type="spellStart"/>
      <w:r w:rsidRPr="00243E2E">
        <w:rPr>
          <w:rFonts w:ascii="Times New Roman" w:hAnsi="Times New Roman" w:cs="Times New Roman"/>
        </w:rPr>
        <w:t>6°35′E</w:t>
      </w:r>
      <w:proofErr w:type="spellEnd"/>
      <w:r w:rsidRPr="00243E2E">
        <w:rPr>
          <w:rFonts w:ascii="Times New Roman" w:hAnsi="Times New Roman" w:cs="Times New Roman"/>
        </w:rPr>
        <w:t xml:space="preserve">, covering approximately 81 </w:t>
      </w:r>
      <w:proofErr w:type="spellStart"/>
      <w:r w:rsidRPr="00243E2E">
        <w:rPr>
          <w:rFonts w:ascii="Times New Roman" w:hAnsi="Times New Roman" w:cs="Times New Roman"/>
        </w:rPr>
        <w:t>km²</w:t>
      </w:r>
      <w:proofErr w:type="spellEnd"/>
      <w:r w:rsidRPr="00243E2E">
        <w:rPr>
          <w:rFonts w:ascii="Times New Roman" w:hAnsi="Times New Roman" w:cs="Times New Roman"/>
        </w:rPr>
        <w:t xml:space="preserve"> and underlain predominantly by granitic rocks with localized schist occurrences Within this context, this study aims to provide a quantitative hydrogeological framework by constructing a detailed potentiometric surface map from systematic hand-dug well inventory data, quantifying groundwater flow direction and hydraulic gradient using geostatistical interpolation, evaluating the influence of joint orientation on subsurface flow patterns, and assessing aquifer vulnerability based on overburden thickness and first-order recharge estimation</w:t>
      </w:r>
      <w:r w:rsidR="00452A9C">
        <w:t>.</w:t>
      </w:r>
      <w:r w:rsidR="00EE51E7">
        <w:t xml:space="preserve"> </w:t>
      </w:r>
    </w:p>
    <w:p w14:paraId="7B2D4D13" w14:textId="77777777" w:rsidR="00452A9C" w:rsidRDefault="00452A9C" w:rsidP="00452A9C">
      <w:pPr>
        <w:pStyle w:val="Heading2"/>
      </w:pPr>
      <w:r>
        <w:t>Methodology</w:t>
      </w:r>
    </w:p>
    <w:p w14:paraId="6D1F6A63" w14:textId="4F982310" w:rsidR="00C53357" w:rsidRDefault="00EE51E7" w:rsidP="00EE51E7">
      <w:pPr>
        <w:pStyle w:val="Heading3"/>
      </w:pPr>
      <w:r w:rsidRPr="00481947">
        <w:t>Study Area and Preliminary Reconnaissance</w:t>
      </w:r>
    </w:p>
    <w:p w14:paraId="783B63E7" w14:textId="58BC8478" w:rsidR="00C457B7" w:rsidRPr="004A022C" w:rsidRDefault="00EE51E7" w:rsidP="00C457B7">
      <w:r w:rsidRPr="00EE51E7">
        <w:t xml:space="preserve">The study area covers approximately 81 </w:t>
      </w:r>
      <w:proofErr w:type="spellStart"/>
      <w:r w:rsidRPr="00EE51E7">
        <w:t>km²</w:t>
      </w:r>
      <w:proofErr w:type="spellEnd"/>
      <w:r w:rsidRPr="00EE51E7">
        <w:t xml:space="preserve"> within parts of Minna Sheet 164 SW, North Central Nigeria. A preliminary reconnaissance survey was conducted to verify lithological boundaries, assess well distribution, and validate accessibility before systematic data collection. This reconnaissance also enabled refinement of field logistics and ensured uniform spatial coverage during the hydrogeological inventory</w:t>
      </w:r>
      <w:r>
        <w:t>.</w:t>
      </w:r>
      <w:r w:rsidR="00483959">
        <w:t xml:space="preserve"> </w:t>
      </w:r>
    </w:p>
    <w:p w14:paraId="65E6770E" w14:textId="5A681B63" w:rsidR="00452A9C" w:rsidRDefault="00EE51E7" w:rsidP="00452A9C">
      <w:pPr>
        <w:pStyle w:val="Heading3"/>
      </w:pPr>
      <w:r w:rsidRPr="00481947">
        <w:rPr>
          <w:rFonts w:ascii="Times New Roman" w:hAnsi="Times New Roman" w:cs="Times New Roman"/>
        </w:rPr>
        <w:t>Geological Mapping</w:t>
      </w:r>
    </w:p>
    <w:p w14:paraId="50913519" w14:textId="247E8939" w:rsidR="000929E5" w:rsidRDefault="0032096B" w:rsidP="0032096B">
      <w:r>
        <w:t>Geological mapping was conducted using a 1:12,500 topographic base map derived from Minna Sheet 164 SW. Lithological units were identified through field observation of outcrops and verified using structural measurements where exposures permitted. Rock types were georeferenced using a handheld GPS receiver.</w:t>
      </w:r>
      <w:r w:rsidR="00831E7D">
        <w:t xml:space="preserve"> </w:t>
      </w:r>
      <w:r>
        <w:t>Structural data, including joints and fractures, were measured using a compass-clinometer. Multiple joint orientations were recorded across representative outcrops to determine principal structural trends. These measurements were compiled and plotted as a rosette diagram to identify dominant fracture orientations controlling potential secondary permeability pathways</w:t>
      </w:r>
      <w:r w:rsidR="00C53357">
        <w:t>.</w:t>
      </w:r>
    </w:p>
    <w:p w14:paraId="23BFB653" w14:textId="085FFA48" w:rsidR="00452A9C" w:rsidRDefault="0032096B" w:rsidP="00452A9C">
      <w:pPr>
        <w:pStyle w:val="Heading3"/>
      </w:pPr>
      <w:r w:rsidRPr="005842D2">
        <w:rPr>
          <w:rFonts w:ascii="Times New Roman" w:hAnsi="Times New Roman" w:cs="Times New Roman"/>
        </w:rPr>
        <w:lastRenderedPageBreak/>
        <w:t>Hydrogeological Inventory</w:t>
      </w:r>
    </w:p>
    <w:p w14:paraId="622495B7" w14:textId="328849C7" w:rsidR="005D6C34" w:rsidRDefault="0032096B" w:rsidP="0032096B">
      <w:r>
        <w:t xml:space="preserve">A systematic hydrogeological inventory of hand-dug wells was conducted across the study area. To ensure spatial representativeness and minimize clustering bias, the study area was subdivided into approximately </w:t>
      </w:r>
      <w:proofErr w:type="spellStart"/>
      <w:r>
        <w:t>500m</w:t>
      </w:r>
      <w:proofErr w:type="spellEnd"/>
      <w:r>
        <w:t xml:space="preserve"> × </w:t>
      </w:r>
      <w:proofErr w:type="spellStart"/>
      <w:r>
        <w:t>500m</w:t>
      </w:r>
      <w:proofErr w:type="spellEnd"/>
      <w:r>
        <w:t xml:space="preserve"> grid cells. Within each grid cell, accessible and functional hand-dug wells were inventoried. Where multiple wells existed within a single grid, representative wells were selected to maintain spatial uniformity. A total of 117 hand-dug wells were recorded. For each well, the following parameters were measured: 1. Geographic coordinates (latitude and longitude) </w:t>
      </w:r>
      <w:proofErr w:type="spellStart"/>
      <w:proofErr w:type="gramStart"/>
      <w:r>
        <w:t>2.Ground</w:t>
      </w:r>
      <w:proofErr w:type="spellEnd"/>
      <w:proofErr w:type="gramEnd"/>
      <w:r>
        <w:t xml:space="preserve"> surface elevation (m above sea level) </w:t>
      </w:r>
      <w:proofErr w:type="spellStart"/>
      <w:proofErr w:type="gramStart"/>
      <w:r>
        <w:t>3.Total</w:t>
      </w:r>
      <w:proofErr w:type="spellEnd"/>
      <w:proofErr w:type="gramEnd"/>
      <w:r>
        <w:t xml:space="preserve"> well depth (m), 4. Depth to static water level (m), </w:t>
      </w:r>
      <w:proofErr w:type="spellStart"/>
      <w:proofErr w:type="gramStart"/>
      <w:r>
        <w:t>5.Water</w:t>
      </w:r>
      <w:proofErr w:type="spellEnd"/>
      <w:proofErr w:type="gramEnd"/>
      <w:r>
        <w:t xml:space="preserve"> column thickness (m). All groundwater level measurements were conducted during a single late dry-season field campaign to reduce short-term seasonal variability and ensure internal data consistency. Depth to static water level was measured using a calibrated steel tape with an accuracy of ±0.01 m. Geographic positioning and elevation were obtained using a handheld GPS receiver with an estimated horizontal accuracy of ±3-5 m</w:t>
      </w:r>
      <w:r w:rsidR="00DD066F">
        <w:t>.</w:t>
      </w:r>
    </w:p>
    <w:p w14:paraId="1142D40D" w14:textId="79D05E82" w:rsidR="0032096B" w:rsidRDefault="0032096B" w:rsidP="0032096B">
      <w:pPr>
        <w:pStyle w:val="Heading3"/>
      </w:pPr>
      <w:r w:rsidRPr="00C51B23">
        <w:t>Data Processing and Potentiometric Surface Construction</w:t>
      </w:r>
    </w:p>
    <w:p w14:paraId="508C660D" w14:textId="77777777" w:rsidR="0032096B" w:rsidRDefault="0032096B" w:rsidP="0032096B">
      <w:r>
        <w:t>Water table elevation (h) for each well was calculated using:</w:t>
      </w:r>
    </w:p>
    <w:p w14:paraId="3533F2FD" w14:textId="56C44925" w:rsidR="0032096B" w:rsidRDefault="0032096B" w:rsidP="00115440">
      <w:pPr>
        <w:jc w:val="center"/>
      </w:pPr>
      <w:r>
        <w:t>h=H-d</w:t>
      </w:r>
      <w:r w:rsidR="00115440">
        <w:t xml:space="preserve"> </w:t>
      </w:r>
      <w:r w:rsidR="00115440">
        <w:tab/>
      </w:r>
      <w:r w:rsidR="00115440">
        <w:tab/>
      </w:r>
      <w:r w:rsidR="00115440">
        <w:tab/>
      </w:r>
      <w:r w:rsidR="00115440">
        <w:tab/>
        <w:t>(I)</w:t>
      </w:r>
    </w:p>
    <w:p w14:paraId="24FDADD3" w14:textId="77777777" w:rsidR="0032096B" w:rsidRDefault="0032096B" w:rsidP="0032096B">
      <w:r>
        <w:t>where H represents ground surface elevation and d represents depth to static water level.</w:t>
      </w:r>
    </w:p>
    <w:p w14:paraId="2F00F5EE" w14:textId="02F83FE5" w:rsidR="0032096B" w:rsidRDefault="0032096B" w:rsidP="0032096B">
      <w:r>
        <w:t xml:space="preserve">The computed hydraulic head values were imported into Surfer 13 (Golden Software, 2017) for spatial interpolation. Ordinary Kriging interpolation was employed for its ability to model spatial autocorrelation and provide statistically robust surface estimates from irregularly spaced hydrogeological data. A contour interval of </w:t>
      </w:r>
      <w:proofErr w:type="spellStart"/>
      <w:r>
        <w:t>2m</w:t>
      </w:r>
      <w:proofErr w:type="spellEnd"/>
      <w:r>
        <w:t xml:space="preserve"> was adopted based on the observed elevation range and spatial data density to ensure appropriate resolution without artificial overfitting. The resulting potentiometric surface map was used to infer groundwater flow direction, based on the principle that groundwater flows perpendicular to equipotential contours from higher to lower hydraulic head.</w:t>
      </w:r>
    </w:p>
    <w:p w14:paraId="3F70D085" w14:textId="67B3CFD1" w:rsidR="00097779" w:rsidRDefault="00097779" w:rsidP="00097779">
      <w:pPr>
        <w:pStyle w:val="Heading3"/>
      </w:pPr>
      <w:r w:rsidRPr="0061311A">
        <w:t>Hydraulic Gradient Estimation</w:t>
      </w:r>
    </w:p>
    <w:p w14:paraId="3496D4C6" w14:textId="77777777" w:rsidR="00097779" w:rsidRDefault="00097779" w:rsidP="00097779">
      <w:r>
        <w:t>Hydraulic gradient (I) was quantified using the relationship:</w:t>
      </w:r>
    </w:p>
    <w:p w14:paraId="196D6CD9" w14:textId="304D4A21" w:rsidR="00097779" w:rsidRDefault="00097779" w:rsidP="000828AB">
      <w:pPr>
        <w:jc w:val="center"/>
      </w:pPr>
      <w:r>
        <w:t>I=∆h/∆I</w:t>
      </w:r>
      <w:r w:rsidR="000828AB">
        <w:tab/>
      </w:r>
      <w:r w:rsidR="000828AB">
        <w:tab/>
      </w:r>
      <w:r w:rsidR="000828AB">
        <w:tab/>
        <w:t>(2)</w:t>
      </w:r>
    </w:p>
    <w:p w14:paraId="2A5CA1BB" w14:textId="25630595" w:rsidR="00097779" w:rsidRDefault="00097779" w:rsidP="00097779">
      <w:r>
        <w:t xml:space="preserve">where </w:t>
      </w:r>
      <w:proofErr w:type="spellStart"/>
      <w:r>
        <w:t>Δh</w:t>
      </w:r>
      <w:proofErr w:type="spellEnd"/>
      <w:r>
        <w:t xml:space="preserve"> is the difference in hydraulic head between two points, and </w:t>
      </w:r>
      <w:proofErr w:type="spellStart"/>
      <w:r>
        <w:t>Δl</w:t>
      </w:r>
      <w:proofErr w:type="spellEnd"/>
      <w:r>
        <w:t xml:space="preserve"> is the horizontal distance separating them. The average hydraulic gradient was calculated along the principal NE-SW flow path identified from the potentiometric surface. The resulting gradient ranged between 0.02 and 0.03, indicating moderate gravity-driven groundwater movement</w:t>
      </w:r>
      <w:r w:rsidR="00831E7D">
        <w:t>.</w:t>
      </w:r>
    </w:p>
    <w:p w14:paraId="53EA85E2" w14:textId="77777777" w:rsidR="002F08C0" w:rsidRDefault="002F08C0" w:rsidP="00097779"/>
    <w:p w14:paraId="2CB81673" w14:textId="77777777" w:rsidR="002F08C0" w:rsidRDefault="002F08C0" w:rsidP="00097779"/>
    <w:p w14:paraId="14316C55" w14:textId="26185940" w:rsidR="0032096B" w:rsidRDefault="00097779" w:rsidP="00097779">
      <w:pPr>
        <w:pStyle w:val="Heading3"/>
      </w:pPr>
      <w:r w:rsidRPr="0061311A">
        <w:lastRenderedPageBreak/>
        <w:t>Recharge Potential Estimation</w:t>
      </w:r>
    </w:p>
    <w:p w14:paraId="6B38105A" w14:textId="77777777" w:rsidR="00097779" w:rsidRDefault="00097779" w:rsidP="00097779">
      <w:r>
        <w:t>To support recharge interpretation beyond contour highs and lows, a first-order recharge potential estimate was developed using long-term rainfall data (2013-2023) obtained from the Nigerian Meteorological Agency (NiMet).</w:t>
      </w:r>
    </w:p>
    <w:p w14:paraId="6416905E" w14:textId="77777777" w:rsidR="00097779" w:rsidRDefault="00097779" w:rsidP="00097779">
      <w:r>
        <w:t>Mean annual rainfall = 1418.174 mm (1.418 m).</w:t>
      </w:r>
    </w:p>
    <w:p w14:paraId="24429EA4" w14:textId="77777777" w:rsidR="00097779" w:rsidRDefault="00097779" w:rsidP="00097779">
      <w:r>
        <w:t>Total annual precipitation volume was estimated as:</w:t>
      </w:r>
    </w:p>
    <w:p w14:paraId="2ACCBE84" w14:textId="7C509A3A" w:rsidR="00097779" w:rsidRDefault="00097779" w:rsidP="000828AB">
      <w:pPr>
        <w:jc w:val="center"/>
      </w:pPr>
      <w:proofErr w:type="spellStart"/>
      <w:r>
        <w:t>Vp</w:t>
      </w:r>
      <w:proofErr w:type="spellEnd"/>
      <w:r>
        <w:t>=P*A</w:t>
      </w:r>
      <w:r w:rsidR="000828AB">
        <w:tab/>
      </w:r>
      <w:r w:rsidR="000828AB">
        <w:tab/>
      </w:r>
      <w:r w:rsidR="000828AB">
        <w:tab/>
      </w:r>
      <w:r w:rsidR="000828AB">
        <w:tab/>
        <w:t>(3)</w:t>
      </w:r>
    </w:p>
    <w:p w14:paraId="4DD42364" w14:textId="77777777" w:rsidR="00097779" w:rsidRDefault="00097779" w:rsidP="00097779">
      <w:r>
        <w:t>Where:</w:t>
      </w:r>
    </w:p>
    <w:p w14:paraId="5E5E8C1E" w14:textId="77777777" w:rsidR="00097779" w:rsidRDefault="00097779" w:rsidP="00097779">
      <w:proofErr w:type="spellStart"/>
      <w:r>
        <w:t>Vp</w:t>
      </w:r>
      <w:proofErr w:type="spellEnd"/>
      <w:r>
        <w:t xml:space="preserve"> = Total annual precipitation volume (</w:t>
      </w:r>
      <w:proofErr w:type="spellStart"/>
      <w:r>
        <w:t>m³</w:t>
      </w:r>
      <w:proofErr w:type="spellEnd"/>
      <w:r>
        <w:t>/year)</w:t>
      </w:r>
    </w:p>
    <w:p w14:paraId="6C323E1A" w14:textId="77777777" w:rsidR="00097779" w:rsidRDefault="00097779" w:rsidP="00097779">
      <w:r>
        <w:t>P = Annual precipitation (m/year)</w:t>
      </w:r>
    </w:p>
    <w:p w14:paraId="5E85582A" w14:textId="77777777" w:rsidR="00097779" w:rsidRDefault="00097779" w:rsidP="00097779">
      <w:r>
        <w:t>A = Area of the study region (</w:t>
      </w:r>
      <w:proofErr w:type="spellStart"/>
      <w:r>
        <w:t>m²</w:t>
      </w:r>
      <w:proofErr w:type="spellEnd"/>
      <w:r>
        <w:t>)</w:t>
      </w:r>
    </w:p>
    <w:p w14:paraId="1C68F483" w14:textId="77777777" w:rsidR="00097779" w:rsidRDefault="00097779" w:rsidP="00097779">
      <w:proofErr w:type="spellStart"/>
      <w:r>
        <w:t>Vp</w:t>
      </w:r>
      <w:proofErr w:type="spellEnd"/>
      <w:r>
        <w:t xml:space="preserve"> = 1.418 x 81,000,000 = 114,872,094 </w:t>
      </w:r>
      <w:proofErr w:type="spellStart"/>
      <w:r>
        <w:t>m³</w:t>
      </w:r>
      <w:proofErr w:type="spellEnd"/>
      <w:r>
        <w:t>/year</w:t>
      </w:r>
    </w:p>
    <w:p w14:paraId="19428F7D" w14:textId="77777777" w:rsidR="00097779" w:rsidRDefault="00097779" w:rsidP="00097779">
      <w:r>
        <w:t>Runoff was estimated using a weighted runoff coefficient derived from dominant land-surface types (roads 30%, rooftops 40%, open spaces 30%) with respective coefficients of 0.7, 0.9, and 0.3:</w:t>
      </w:r>
    </w:p>
    <w:p w14:paraId="4AE291B5" w14:textId="77777777" w:rsidR="00097779" w:rsidRDefault="00097779" w:rsidP="00097779">
      <w:proofErr w:type="spellStart"/>
      <w:r>
        <w:t>Cw</w:t>
      </w:r>
      <w:proofErr w:type="spellEnd"/>
      <w:r>
        <w:t xml:space="preserve"> = (0.3×0.7) + (0.4×0.9) + (0.3×0.3) = 0.66</w:t>
      </w:r>
    </w:p>
    <w:p w14:paraId="256C4F91" w14:textId="77777777" w:rsidR="00097779" w:rsidRDefault="00097779" w:rsidP="00097779">
      <w:r>
        <w:t>Annual runoff volume:</w:t>
      </w:r>
    </w:p>
    <w:p w14:paraId="47353622" w14:textId="77777777" w:rsidR="00097779" w:rsidRDefault="00097779" w:rsidP="00097779">
      <w:r>
        <w:t xml:space="preserve">Vᵣ = 0.66 × 114,872,094 = 75,815,582 </w:t>
      </w:r>
      <w:proofErr w:type="spellStart"/>
      <w:r>
        <w:t>m³</w:t>
      </w:r>
      <w:proofErr w:type="spellEnd"/>
      <w:r>
        <w:t>/year</w:t>
      </w:r>
    </w:p>
    <w:p w14:paraId="142230E2" w14:textId="77777777" w:rsidR="00097779" w:rsidRDefault="00097779" w:rsidP="00097779">
      <w:r>
        <w:t>Potential infiltration (upper-bound recharge proxy):</w:t>
      </w:r>
    </w:p>
    <w:p w14:paraId="7EBA1222" w14:textId="77777777" w:rsidR="00097779" w:rsidRDefault="00097779" w:rsidP="00097779">
      <w:r>
        <w:t>Vᵢ=0.34×114,872,094=</w:t>
      </w:r>
      <w:proofErr w:type="spellStart"/>
      <w:r>
        <w:t>39,056,512m³</w:t>
      </w:r>
      <w:proofErr w:type="spellEnd"/>
      <w:r>
        <w:t>/year</w:t>
      </w:r>
    </w:p>
    <w:p w14:paraId="2740E5F1" w14:textId="43569FDB" w:rsidR="00097779" w:rsidRDefault="00097779" w:rsidP="00097779">
      <w:r>
        <w:t xml:space="preserve">≈ 107,004 </w:t>
      </w:r>
      <w:proofErr w:type="spellStart"/>
      <w:r>
        <w:t>m³</w:t>
      </w:r>
      <w:proofErr w:type="spellEnd"/>
      <w:r>
        <w:t>/day</w:t>
      </w:r>
    </w:p>
    <w:p w14:paraId="3E0441AE" w14:textId="445887CD" w:rsidR="00227FA7" w:rsidRDefault="00227FA7" w:rsidP="00227FA7">
      <w:pPr>
        <w:pStyle w:val="Heading3"/>
      </w:pPr>
      <w:r w:rsidRPr="00456967">
        <w:t>Uncertainty and Limitations of Methods</w:t>
      </w:r>
    </w:p>
    <w:p w14:paraId="18CCC895" w14:textId="47E0D787" w:rsidR="00227FA7" w:rsidRDefault="00227FA7" w:rsidP="00227FA7">
      <w:r w:rsidRPr="00227FA7">
        <w:t>Potential sources of uncertainty include GPS elevation inaccuracies, manual water level measurement deviations, and geostatistical interpolation uncertainty inherent in Ordinary Kriging. Although the dataset comprises 117 wells, localized contour smoothing may occur in areas of lower well density.</w:t>
      </w:r>
    </w:p>
    <w:p w14:paraId="66E07136" w14:textId="1E534FC9" w:rsidR="00452A9C" w:rsidRDefault="00452A9C" w:rsidP="00452A9C">
      <w:pPr>
        <w:pStyle w:val="Heading2"/>
      </w:pPr>
      <w:r>
        <w:t>Results</w:t>
      </w:r>
    </w:p>
    <w:p w14:paraId="06E3F612" w14:textId="7717422A" w:rsidR="00DF22E8" w:rsidRDefault="00227FA7" w:rsidP="00227FA7">
      <w:pPr>
        <w:pStyle w:val="Heading3"/>
      </w:pPr>
      <w:r w:rsidRPr="00227FA7">
        <w:t>Geological Characteristics and Structural Orientation</w:t>
      </w:r>
    </w:p>
    <w:p w14:paraId="41EF6EEF" w14:textId="77777777" w:rsidR="00047546" w:rsidRDefault="00227FA7" w:rsidP="00047546">
      <w:r w:rsidRPr="00227FA7">
        <w:t xml:space="preserve">Geological mapping confirms that the study area is underlain predominantly by granite (&gt;90%), with minor occurrences of schist in the northern portion. The schist exhibits a general NE-SW </w:t>
      </w:r>
      <w:r w:rsidRPr="00227FA7">
        <w:lastRenderedPageBreak/>
        <w:t xml:space="preserve">trend with an average dip of approximately </w:t>
      </w:r>
      <w:proofErr w:type="spellStart"/>
      <w:r w:rsidRPr="00227FA7">
        <w:t>046°W</w:t>
      </w:r>
      <w:proofErr w:type="spellEnd"/>
      <w:r w:rsidRPr="00227FA7">
        <w:t xml:space="preserve">. </w:t>
      </w:r>
      <w:r w:rsidR="00047546">
        <w:t xml:space="preserve">Figure 2 shows the </w:t>
      </w:r>
      <w:r w:rsidR="00047546" w:rsidRPr="004A022C">
        <w:t>geological map and cross section of parts of Minna sheet 164 SW</w:t>
      </w:r>
      <w:r w:rsidR="00047546">
        <w:t>.</w:t>
      </w:r>
    </w:p>
    <w:p w14:paraId="35EABB46" w14:textId="77777777" w:rsidR="00C457B7" w:rsidRDefault="00C457B7" w:rsidP="00C457B7">
      <w:r w:rsidRPr="00BA368D">
        <w:rPr>
          <w:noProof/>
        </w:rPr>
        <w:drawing>
          <wp:inline distT="0" distB="0" distL="0" distR="0" wp14:anchorId="1030B2BB" wp14:editId="37457CA9">
            <wp:extent cx="5532120" cy="5707380"/>
            <wp:effectExtent l="19050" t="19050" r="11430" b="26670"/>
            <wp:docPr id="188442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32038" name=""/>
                    <pic:cNvPicPr/>
                  </pic:nvPicPr>
                  <pic:blipFill rotWithShape="1">
                    <a:blip r:embed="rId11"/>
                    <a:srcRect l="1326" t="-2" r="2387" b="421"/>
                    <a:stretch>
                      <a:fillRect/>
                    </a:stretch>
                  </pic:blipFill>
                  <pic:spPr bwMode="auto">
                    <a:xfrm>
                      <a:off x="0" y="0"/>
                      <a:ext cx="5532120" cy="570738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p>
    <w:p w14:paraId="091F4898" w14:textId="77777777" w:rsidR="00C457B7" w:rsidRDefault="00C457B7" w:rsidP="00C457B7">
      <w:pPr>
        <w:ind w:firstLine="720"/>
      </w:pPr>
      <w:r w:rsidRPr="00227FA7">
        <w:t>Figure 2: Geological Map and Cross Section of Parts of Minna Sheet 164 SW</w:t>
      </w:r>
    </w:p>
    <w:p w14:paraId="0847D201" w14:textId="35E10E6A" w:rsidR="00227FA7" w:rsidRDefault="00227FA7" w:rsidP="00483959">
      <w:r w:rsidRPr="00227FA7">
        <w:t>Cross-sectional interpretation indicates that granite represents the younger intrusive unit relative to schist. Structural measurements compiled into a rosette diagram reveal that the dominant joint orientation trends NNE-SSW, with a subordinate set trending approximately NWW-SEE</w:t>
      </w:r>
      <w:r>
        <w:t>.</w:t>
      </w:r>
      <w:r w:rsidR="00E24D90">
        <w:t xml:space="preserve"> </w:t>
      </w:r>
      <w:r w:rsidR="00483959">
        <w:t xml:space="preserve"> </w:t>
      </w:r>
      <w:r w:rsidR="00483959" w:rsidRPr="00483959">
        <w:t>Figure 3</w:t>
      </w:r>
      <w:r w:rsidR="00483959">
        <w:t xml:space="preserve"> shows the</w:t>
      </w:r>
      <w:r w:rsidR="00483959" w:rsidRPr="00483959">
        <w:t xml:space="preserve"> </w:t>
      </w:r>
      <w:r w:rsidR="00483959" w:rsidRPr="00483959">
        <w:t xml:space="preserve">rosette </w:t>
      </w:r>
      <w:r w:rsidR="00483959" w:rsidRPr="00483959">
        <w:t>diagram of jointing in the study area</w:t>
      </w:r>
      <w:r w:rsidR="00483959">
        <w:t>.</w:t>
      </w:r>
    </w:p>
    <w:p w14:paraId="15B19AEA" w14:textId="2BD98E8D" w:rsidR="00403482" w:rsidRDefault="00403482" w:rsidP="00227FA7">
      <w:r w:rsidRPr="00481947">
        <w:rPr>
          <w:rFonts w:ascii="Times New Roman" w:hAnsi="Times New Roman" w:cs="Times New Roman"/>
          <w:noProof/>
        </w:rPr>
        <w:lastRenderedPageBreak/>
        <w:drawing>
          <wp:inline distT="0" distB="0" distL="0" distR="0" wp14:anchorId="543E836C" wp14:editId="10CDBF34">
            <wp:extent cx="5731510" cy="3820795"/>
            <wp:effectExtent l="19050" t="19050" r="21590" b="27305"/>
            <wp:docPr id="85445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51767" name=""/>
                    <pic:cNvPicPr/>
                  </pic:nvPicPr>
                  <pic:blipFill>
                    <a:blip r:embed="rId12"/>
                    <a:stretch>
                      <a:fillRect/>
                    </a:stretch>
                  </pic:blipFill>
                  <pic:spPr>
                    <a:xfrm>
                      <a:off x="0" y="0"/>
                      <a:ext cx="5731510" cy="3820795"/>
                    </a:xfrm>
                    <a:prstGeom prst="rect">
                      <a:avLst/>
                    </a:prstGeom>
                    <a:ln>
                      <a:solidFill>
                        <a:schemeClr val="bg1"/>
                      </a:solidFill>
                    </a:ln>
                  </pic:spPr>
                </pic:pic>
              </a:graphicData>
            </a:graphic>
          </wp:inline>
        </w:drawing>
      </w:r>
    </w:p>
    <w:p w14:paraId="31F992CE" w14:textId="3CF0B478" w:rsidR="00403482" w:rsidRDefault="00403482" w:rsidP="00403482">
      <w:pPr>
        <w:ind w:left="720" w:firstLine="720"/>
      </w:pPr>
      <w:r w:rsidRPr="00403482">
        <w:t>Figure 3: Rosette diagram of jointing in the study area</w:t>
      </w:r>
    </w:p>
    <w:p w14:paraId="5C2D35DD" w14:textId="39BB61B9" w:rsidR="00403482" w:rsidRDefault="00403482" w:rsidP="00403482">
      <w:pPr>
        <w:pStyle w:val="Heading3"/>
      </w:pPr>
      <w:r w:rsidRPr="00B34F10">
        <w:t>Descriptive Statistics of Hydrogeological Parameters</w:t>
      </w:r>
    </w:p>
    <w:p w14:paraId="4EC944F7" w14:textId="77777777" w:rsidR="00AA35FA" w:rsidRPr="00481947" w:rsidRDefault="00AA35FA" w:rsidP="00AA35FA">
      <w:pPr>
        <w:pStyle w:val="ListParagraph"/>
        <w:ind w:left="0"/>
        <w:rPr>
          <w:rFonts w:ascii="Times New Roman" w:hAnsi="Times New Roman" w:cs="Times New Roman"/>
        </w:rPr>
      </w:pPr>
      <w:r w:rsidRPr="00B34F10">
        <w:rPr>
          <w:rFonts w:ascii="Times New Roman" w:hAnsi="Times New Roman" w:cs="Times New Roman"/>
        </w:rPr>
        <w:t xml:space="preserve">A total of 117 hand-dug wells were </w:t>
      </w:r>
      <w:proofErr w:type="spellStart"/>
      <w:r w:rsidRPr="00481947">
        <w:rPr>
          <w:rFonts w:ascii="Times New Roman" w:hAnsi="Times New Roman" w:cs="Times New Roman"/>
        </w:rPr>
        <w:t>analysed</w:t>
      </w:r>
      <w:proofErr w:type="spellEnd"/>
      <w:r w:rsidRPr="00B34F10">
        <w:rPr>
          <w:rFonts w:ascii="Times New Roman" w:hAnsi="Times New Roman" w:cs="Times New Roman"/>
        </w:rPr>
        <w:t xml:space="preserve"> to characterize the shallow aquifer system. Table 1 presents summary statistics of the measured hydrogeological parameters.</w:t>
      </w:r>
    </w:p>
    <w:p w14:paraId="1A679000" w14:textId="77777777" w:rsidR="00AA35FA" w:rsidRPr="00481947" w:rsidRDefault="00AA35FA" w:rsidP="00AA35FA">
      <w:pPr>
        <w:pStyle w:val="ListParagraph"/>
        <w:ind w:left="0"/>
        <w:rPr>
          <w:rFonts w:ascii="Times New Roman" w:hAnsi="Times New Roman" w:cs="Times New Roman"/>
        </w:rPr>
      </w:pPr>
    </w:p>
    <w:p w14:paraId="120C026E" w14:textId="77777777" w:rsidR="00AA35FA" w:rsidRPr="00481947" w:rsidRDefault="00AA35FA" w:rsidP="00AA35FA">
      <w:pPr>
        <w:pStyle w:val="ListParagraph"/>
        <w:ind w:left="0"/>
        <w:jc w:val="center"/>
        <w:rPr>
          <w:rFonts w:ascii="Times New Roman" w:hAnsi="Times New Roman" w:cs="Times New Roman"/>
        </w:rPr>
      </w:pPr>
      <w:r w:rsidRPr="00AA35FA">
        <w:rPr>
          <w:rFonts w:ascii="Times New Roman" w:hAnsi="Times New Roman" w:cs="Times New Roman"/>
        </w:rPr>
        <w:t>Table 1</w:t>
      </w:r>
      <w:r w:rsidRPr="00481947">
        <w:rPr>
          <w:rFonts w:ascii="Times New Roman" w:hAnsi="Times New Roman" w:cs="Times New Roman"/>
          <w:b/>
          <w:bCs/>
        </w:rPr>
        <w:t>:</w:t>
      </w:r>
      <w:r w:rsidRPr="00481947">
        <w:rPr>
          <w:rFonts w:ascii="Times New Roman" w:hAnsi="Times New Roman" w:cs="Times New Roman"/>
        </w:rPr>
        <w:t xml:space="preserve"> Summary Statistics of Well Parameters (n = 117)</w:t>
      </w:r>
    </w:p>
    <w:p w14:paraId="71C5F2CD" w14:textId="77777777" w:rsidR="00AA35FA" w:rsidRPr="00481947" w:rsidRDefault="00AA35FA" w:rsidP="00AA35FA">
      <w:pPr>
        <w:pStyle w:val="ListParagraph"/>
        <w:ind w:left="0"/>
        <w:rPr>
          <w:rFonts w:ascii="Times New Roman" w:hAnsi="Times New Roman" w:cs="Times New Roman"/>
        </w:rPr>
      </w:pPr>
    </w:p>
    <w:tbl>
      <w:tblPr>
        <w:tblStyle w:val="TableGrid"/>
        <w:tblW w:w="0" w:type="auto"/>
        <w:tblLook w:val="04A0" w:firstRow="1" w:lastRow="0" w:firstColumn="1" w:lastColumn="0" w:noHBand="0" w:noVBand="1"/>
      </w:tblPr>
      <w:tblGrid>
        <w:gridCol w:w="2263"/>
        <w:gridCol w:w="1343"/>
        <w:gridCol w:w="1803"/>
        <w:gridCol w:w="1803"/>
        <w:gridCol w:w="1804"/>
      </w:tblGrid>
      <w:tr w:rsidR="00AA35FA" w:rsidRPr="00481947" w14:paraId="19543284" w14:textId="77777777" w:rsidTr="00F24B50">
        <w:tc>
          <w:tcPr>
            <w:tcW w:w="2263" w:type="dxa"/>
          </w:tcPr>
          <w:p w14:paraId="52008F31" w14:textId="77777777" w:rsidR="00AA35FA" w:rsidRPr="00481947" w:rsidRDefault="00AA35FA" w:rsidP="00F24B50">
            <w:pPr>
              <w:pStyle w:val="ListParagraph"/>
              <w:ind w:left="0"/>
              <w:rPr>
                <w:rFonts w:ascii="Times New Roman" w:hAnsi="Times New Roman" w:cs="Times New Roman"/>
                <w:b/>
                <w:bCs/>
              </w:rPr>
            </w:pPr>
            <w:r w:rsidRPr="00481947">
              <w:rPr>
                <w:rFonts w:ascii="Times New Roman" w:hAnsi="Times New Roman" w:cs="Times New Roman"/>
                <w:b/>
                <w:bCs/>
              </w:rPr>
              <w:t>Parameter</w:t>
            </w:r>
          </w:p>
        </w:tc>
        <w:tc>
          <w:tcPr>
            <w:tcW w:w="1343" w:type="dxa"/>
          </w:tcPr>
          <w:p w14:paraId="7A823A37" w14:textId="77777777" w:rsidR="00AA35FA" w:rsidRPr="00481947" w:rsidRDefault="00AA35FA" w:rsidP="00F24B50">
            <w:pPr>
              <w:pStyle w:val="ListParagraph"/>
              <w:ind w:left="0"/>
              <w:rPr>
                <w:rFonts w:ascii="Times New Roman" w:hAnsi="Times New Roman" w:cs="Times New Roman"/>
                <w:b/>
                <w:bCs/>
              </w:rPr>
            </w:pPr>
            <w:r w:rsidRPr="00481947">
              <w:rPr>
                <w:rFonts w:ascii="Times New Roman" w:hAnsi="Times New Roman" w:cs="Times New Roman"/>
                <w:b/>
                <w:bCs/>
              </w:rPr>
              <w:t xml:space="preserve">Minimum </w:t>
            </w:r>
          </w:p>
        </w:tc>
        <w:tc>
          <w:tcPr>
            <w:tcW w:w="1803" w:type="dxa"/>
          </w:tcPr>
          <w:p w14:paraId="71005400" w14:textId="77777777" w:rsidR="00AA35FA" w:rsidRPr="00481947" w:rsidRDefault="00AA35FA" w:rsidP="00F24B50">
            <w:pPr>
              <w:pStyle w:val="ListParagraph"/>
              <w:ind w:left="0"/>
              <w:rPr>
                <w:rFonts w:ascii="Times New Roman" w:hAnsi="Times New Roman" w:cs="Times New Roman"/>
                <w:b/>
                <w:bCs/>
              </w:rPr>
            </w:pPr>
            <w:r w:rsidRPr="00481947">
              <w:rPr>
                <w:rFonts w:ascii="Times New Roman" w:hAnsi="Times New Roman" w:cs="Times New Roman"/>
                <w:b/>
                <w:bCs/>
              </w:rPr>
              <w:t xml:space="preserve">Maximum </w:t>
            </w:r>
          </w:p>
        </w:tc>
        <w:tc>
          <w:tcPr>
            <w:tcW w:w="1803" w:type="dxa"/>
          </w:tcPr>
          <w:p w14:paraId="34A3864D" w14:textId="77777777" w:rsidR="00AA35FA" w:rsidRPr="00481947" w:rsidRDefault="00AA35FA" w:rsidP="00F24B50">
            <w:pPr>
              <w:pStyle w:val="ListParagraph"/>
              <w:ind w:left="0"/>
              <w:rPr>
                <w:rFonts w:ascii="Times New Roman" w:hAnsi="Times New Roman" w:cs="Times New Roman"/>
                <w:b/>
                <w:bCs/>
              </w:rPr>
            </w:pPr>
            <w:r w:rsidRPr="00481947">
              <w:rPr>
                <w:rFonts w:ascii="Times New Roman" w:hAnsi="Times New Roman" w:cs="Times New Roman"/>
                <w:b/>
                <w:bCs/>
              </w:rPr>
              <w:t xml:space="preserve">Mean </w:t>
            </w:r>
          </w:p>
        </w:tc>
        <w:tc>
          <w:tcPr>
            <w:tcW w:w="1804" w:type="dxa"/>
          </w:tcPr>
          <w:p w14:paraId="00640D05" w14:textId="77777777" w:rsidR="00AA35FA" w:rsidRPr="00481947" w:rsidRDefault="00AA35FA" w:rsidP="00F24B50">
            <w:pPr>
              <w:pStyle w:val="ListParagraph"/>
              <w:ind w:left="0"/>
              <w:rPr>
                <w:rFonts w:ascii="Times New Roman" w:hAnsi="Times New Roman" w:cs="Times New Roman"/>
                <w:b/>
                <w:bCs/>
              </w:rPr>
            </w:pPr>
            <w:r w:rsidRPr="00481947">
              <w:rPr>
                <w:rFonts w:ascii="Times New Roman" w:hAnsi="Times New Roman" w:cs="Times New Roman"/>
                <w:b/>
                <w:bCs/>
              </w:rPr>
              <w:t>Standard deviation</w:t>
            </w:r>
          </w:p>
        </w:tc>
      </w:tr>
      <w:tr w:rsidR="00AA35FA" w:rsidRPr="00481947" w14:paraId="0F85FD73" w14:textId="77777777" w:rsidTr="00F24B50">
        <w:tc>
          <w:tcPr>
            <w:tcW w:w="2263" w:type="dxa"/>
          </w:tcPr>
          <w:p w14:paraId="4E22A02F" w14:textId="77777777" w:rsidR="00AA35FA" w:rsidRPr="00481947" w:rsidRDefault="00AA35FA" w:rsidP="00F24B50">
            <w:pPr>
              <w:pStyle w:val="ListParagraph"/>
              <w:ind w:left="0"/>
              <w:rPr>
                <w:rFonts w:ascii="Times New Roman" w:hAnsi="Times New Roman" w:cs="Times New Roman"/>
              </w:rPr>
            </w:pPr>
            <w:r w:rsidRPr="00481947">
              <w:rPr>
                <w:rFonts w:ascii="Times New Roman" w:hAnsi="Times New Roman" w:cs="Times New Roman"/>
              </w:rPr>
              <w:t>Well depth</w:t>
            </w:r>
          </w:p>
        </w:tc>
        <w:tc>
          <w:tcPr>
            <w:tcW w:w="1343" w:type="dxa"/>
          </w:tcPr>
          <w:p w14:paraId="2168160E"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1.6</w:t>
            </w:r>
          </w:p>
        </w:tc>
        <w:tc>
          <w:tcPr>
            <w:tcW w:w="1803" w:type="dxa"/>
          </w:tcPr>
          <w:p w14:paraId="3122E11E"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10.6</w:t>
            </w:r>
          </w:p>
        </w:tc>
        <w:tc>
          <w:tcPr>
            <w:tcW w:w="1803" w:type="dxa"/>
          </w:tcPr>
          <w:p w14:paraId="2223010F"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5.05</w:t>
            </w:r>
          </w:p>
        </w:tc>
        <w:tc>
          <w:tcPr>
            <w:tcW w:w="1804" w:type="dxa"/>
          </w:tcPr>
          <w:p w14:paraId="33EC6907" w14:textId="79FE9019"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2.0</w:t>
            </w:r>
            <w:r w:rsidR="00047546">
              <w:rPr>
                <w:rFonts w:ascii="Times New Roman" w:hAnsi="Times New Roman" w:cs="Times New Roman"/>
              </w:rPr>
              <w:t>0</w:t>
            </w:r>
          </w:p>
        </w:tc>
      </w:tr>
      <w:tr w:rsidR="00AA35FA" w:rsidRPr="00481947" w14:paraId="2E0307F5" w14:textId="77777777" w:rsidTr="00F24B50">
        <w:tc>
          <w:tcPr>
            <w:tcW w:w="2263" w:type="dxa"/>
          </w:tcPr>
          <w:p w14:paraId="2258D855" w14:textId="77777777" w:rsidR="00AA35FA" w:rsidRPr="00481947" w:rsidRDefault="00AA35FA" w:rsidP="00F24B50">
            <w:pPr>
              <w:pStyle w:val="ListParagraph"/>
              <w:ind w:left="0"/>
              <w:rPr>
                <w:rFonts w:ascii="Times New Roman" w:hAnsi="Times New Roman" w:cs="Times New Roman"/>
              </w:rPr>
            </w:pPr>
            <w:r w:rsidRPr="00481947">
              <w:rPr>
                <w:rFonts w:ascii="Times New Roman" w:hAnsi="Times New Roman" w:cs="Times New Roman"/>
              </w:rPr>
              <w:t>Static water level</w:t>
            </w:r>
          </w:p>
        </w:tc>
        <w:tc>
          <w:tcPr>
            <w:tcW w:w="1343" w:type="dxa"/>
          </w:tcPr>
          <w:p w14:paraId="456FE728"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0.9</w:t>
            </w:r>
          </w:p>
        </w:tc>
        <w:tc>
          <w:tcPr>
            <w:tcW w:w="1803" w:type="dxa"/>
          </w:tcPr>
          <w:p w14:paraId="7103BECC"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10.3</w:t>
            </w:r>
          </w:p>
        </w:tc>
        <w:tc>
          <w:tcPr>
            <w:tcW w:w="1803" w:type="dxa"/>
          </w:tcPr>
          <w:p w14:paraId="37BB8D13"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4.23</w:t>
            </w:r>
          </w:p>
        </w:tc>
        <w:tc>
          <w:tcPr>
            <w:tcW w:w="1804" w:type="dxa"/>
          </w:tcPr>
          <w:p w14:paraId="311FDA36"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1.93</w:t>
            </w:r>
          </w:p>
        </w:tc>
      </w:tr>
      <w:tr w:rsidR="00AA35FA" w:rsidRPr="00481947" w14:paraId="5A407FE0" w14:textId="77777777" w:rsidTr="00F24B50">
        <w:tc>
          <w:tcPr>
            <w:tcW w:w="2263" w:type="dxa"/>
          </w:tcPr>
          <w:p w14:paraId="455520A3" w14:textId="77777777" w:rsidR="00AA35FA" w:rsidRPr="00481947" w:rsidRDefault="00AA35FA" w:rsidP="00F24B50">
            <w:pPr>
              <w:pStyle w:val="ListParagraph"/>
              <w:ind w:left="0"/>
              <w:rPr>
                <w:rFonts w:ascii="Times New Roman" w:hAnsi="Times New Roman" w:cs="Times New Roman"/>
              </w:rPr>
            </w:pPr>
            <w:r w:rsidRPr="00481947">
              <w:rPr>
                <w:rFonts w:ascii="Times New Roman" w:hAnsi="Times New Roman" w:cs="Times New Roman"/>
              </w:rPr>
              <w:t>Water column</w:t>
            </w:r>
          </w:p>
        </w:tc>
        <w:tc>
          <w:tcPr>
            <w:tcW w:w="1343" w:type="dxa"/>
          </w:tcPr>
          <w:p w14:paraId="6DD1F6DC"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0</w:t>
            </w:r>
          </w:p>
        </w:tc>
        <w:tc>
          <w:tcPr>
            <w:tcW w:w="1803" w:type="dxa"/>
          </w:tcPr>
          <w:p w14:paraId="2AF85A79"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4.8</w:t>
            </w:r>
          </w:p>
        </w:tc>
        <w:tc>
          <w:tcPr>
            <w:tcW w:w="1803" w:type="dxa"/>
          </w:tcPr>
          <w:p w14:paraId="14B393E0"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1.46</w:t>
            </w:r>
          </w:p>
        </w:tc>
        <w:tc>
          <w:tcPr>
            <w:tcW w:w="1804" w:type="dxa"/>
          </w:tcPr>
          <w:p w14:paraId="483CA987"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1.16</w:t>
            </w:r>
          </w:p>
        </w:tc>
      </w:tr>
      <w:tr w:rsidR="00AA35FA" w:rsidRPr="00481947" w14:paraId="4358EBE0" w14:textId="77777777" w:rsidTr="00F24B50">
        <w:tc>
          <w:tcPr>
            <w:tcW w:w="2263" w:type="dxa"/>
          </w:tcPr>
          <w:p w14:paraId="77769A6D" w14:textId="77777777" w:rsidR="00AA35FA" w:rsidRPr="00481947" w:rsidRDefault="00AA35FA" w:rsidP="00F24B50">
            <w:pPr>
              <w:pStyle w:val="ListParagraph"/>
              <w:ind w:left="0"/>
              <w:rPr>
                <w:rFonts w:ascii="Times New Roman" w:hAnsi="Times New Roman" w:cs="Times New Roman"/>
              </w:rPr>
            </w:pPr>
            <w:r w:rsidRPr="00481947">
              <w:rPr>
                <w:rFonts w:ascii="Times New Roman" w:hAnsi="Times New Roman" w:cs="Times New Roman"/>
              </w:rPr>
              <w:t>Water level elevation</w:t>
            </w:r>
          </w:p>
        </w:tc>
        <w:tc>
          <w:tcPr>
            <w:tcW w:w="1343" w:type="dxa"/>
          </w:tcPr>
          <w:p w14:paraId="1C0F3093"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201.8</w:t>
            </w:r>
          </w:p>
        </w:tc>
        <w:tc>
          <w:tcPr>
            <w:tcW w:w="1803" w:type="dxa"/>
          </w:tcPr>
          <w:p w14:paraId="0DC73D50" w14:textId="7777777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325.8</w:t>
            </w:r>
          </w:p>
        </w:tc>
        <w:tc>
          <w:tcPr>
            <w:tcW w:w="1803" w:type="dxa"/>
          </w:tcPr>
          <w:p w14:paraId="2F87EB99" w14:textId="4BAE54F8"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277.5</w:t>
            </w:r>
            <w:r w:rsidR="00047546">
              <w:rPr>
                <w:rFonts w:ascii="Times New Roman" w:hAnsi="Times New Roman" w:cs="Times New Roman"/>
              </w:rPr>
              <w:t>0</w:t>
            </w:r>
          </w:p>
        </w:tc>
        <w:tc>
          <w:tcPr>
            <w:tcW w:w="1804" w:type="dxa"/>
          </w:tcPr>
          <w:p w14:paraId="0C6615A4" w14:textId="35EAFF67" w:rsidR="00AA35FA" w:rsidRPr="00481947" w:rsidRDefault="00AA35FA" w:rsidP="00047546">
            <w:pPr>
              <w:pStyle w:val="ListParagraph"/>
              <w:ind w:left="0"/>
              <w:jc w:val="center"/>
              <w:rPr>
                <w:rFonts w:ascii="Times New Roman" w:hAnsi="Times New Roman" w:cs="Times New Roman"/>
              </w:rPr>
            </w:pPr>
            <w:r w:rsidRPr="00481947">
              <w:rPr>
                <w:rFonts w:ascii="Times New Roman" w:hAnsi="Times New Roman" w:cs="Times New Roman"/>
              </w:rPr>
              <w:t>26.4</w:t>
            </w:r>
            <w:r w:rsidR="00047546">
              <w:rPr>
                <w:rFonts w:ascii="Times New Roman" w:hAnsi="Times New Roman" w:cs="Times New Roman"/>
              </w:rPr>
              <w:t>0</w:t>
            </w:r>
          </w:p>
        </w:tc>
      </w:tr>
    </w:tbl>
    <w:p w14:paraId="69266BB0" w14:textId="6392B962" w:rsidR="00403482" w:rsidRDefault="00AA35FA" w:rsidP="00AA35FA">
      <w:pPr>
        <w:rPr>
          <w:rFonts w:ascii="Times New Roman" w:hAnsi="Times New Roman" w:cs="Times New Roman"/>
        </w:rPr>
      </w:pPr>
      <w:r w:rsidRPr="00BB021D">
        <w:rPr>
          <w:rFonts w:ascii="Times New Roman" w:hAnsi="Times New Roman" w:cs="Times New Roman"/>
        </w:rPr>
        <w:t xml:space="preserve">Well depths indicate generally shallow excavation typical of weathered basement aquifers. Static water levels are relatively shallow (mean = </w:t>
      </w:r>
      <w:proofErr w:type="spellStart"/>
      <w:r w:rsidRPr="00BB021D">
        <w:rPr>
          <w:rFonts w:ascii="Times New Roman" w:hAnsi="Times New Roman" w:cs="Times New Roman"/>
        </w:rPr>
        <w:t>4.23m</w:t>
      </w:r>
      <w:proofErr w:type="spellEnd"/>
      <w:r w:rsidRPr="00BB021D">
        <w:rPr>
          <w:rFonts w:ascii="Times New Roman" w:hAnsi="Times New Roman" w:cs="Times New Roman"/>
        </w:rPr>
        <w:t>), confirming the unconfined nature of the aquifer system. The moderate standard deviation in water level elevation (26.4 m) reflects combined topographic variation and structural control</w:t>
      </w:r>
      <w:r>
        <w:rPr>
          <w:rFonts w:ascii="Times New Roman" w:hAnsi="Times New Roman" w:cs="Times New Roman"/>
        </w:rPr>
        <w:t>.</w:t>
      </w:r>
    </w:p>
    <w:p w14:paraId="37D6A13E" w14:textId="77777777" w:rsidR="00047546" w:rsidRDefault="00047546" w:rsidP="00AA35FA">
      <w:pPr>
        <w:rPr>
          <w:rFonts w:ascii="Times New Roman" w:hAnsi="Times New Roman" w:cs="Times New Roman"/>
        </w:rPr>
      </w:pPr>
    </w:p>
    <w:p w14:paraId="28F89CE8" w14:textId="759981B3" w:rsidR="00AA35FA" w:rsidRDefault="00AA35FA" w:rsidP="00AA35FA">
      <w:pPr>
        <w:pStyle w:val="Heading3"/>
      </w:pPr>
      <w:r w:rsidRPr="00BB021D">
        <w:lastRenderedPageBreak/>
        <w:t>Potentiometric Surface and Groundwater Flow Direction</w:t>
      </w:r>
    </w:p>
    <w:p w14:paraId="373E9BA5" w14:textId="6FBEA38E" w:rsidR="00C35FBA" w:rsidRPr="00C35FBA" w:rsidRDefault="00963ACE" w:rsidP="00C35FBA">
      <w:pPr>
        <w:rPr>
          <w:rFonts w:ascii="Times New Roman" w:hAnsi="Times New Roman" w:cs="Times New Roman"/>
        </w:rPr>
      </w:pPr>
      <w:r w:rsidRPr="00481947">
        <w:rPr>
          <w:noProof/>
        </w:rPr>
        <w:drawing>
          <wp:anchor distT="0" distB="0" distL="114300" distR="114300" simplePos="0" relativeHeight="251661312" behindDoc="1" locked="0" layoutInCell="1" allowOverlap="1" wp14:anchorId="42B870BE" wp14:editId="203D75E5">
            <wp:simplePos x="0" y="0"/>
            <wp:positionH relativeFrom="margin">
              <wp:posOffset>19050</wp:posOffset>
            </wp:positionH>
            <wp:positionV relativeFrom="paragraph">
              <wp:posOffset>2308529</wp:posOffset>
            </wp:positionV>
            <wp:extent cx="5844540" cy="4015740"/>
            <wp:effectExtent l="19050" t="19050" r="22860" b="22860"/>
            <wp:wrapTight wrapText="bothSides">
              <wp:wrapPolygon edited="0">
                <wp:start x="-70" y="-102"/>
                <wp:lineTo x="-70" y="21620"/>
                <wp:lineTo x="21614" y="21620"/>
                <wp:lineTo x="21614" y="-102"/>
                <wp:lineTo x="-70" y="-102"/>
              </wp:wrapPolygon>
            </wp:wrapTight>
            <wp:docPr id="6" name="Picture 5">
              <a:extLst xmlns:a="http://schemas.openxmlformats.org/drawingml/2006/main">
                <a:ext uri="{FF2B5EF4-FFF2-40B4-BE49-F238E27FC236}">
                  <a16:creationId xmlns:a16="http://schemas.microsoft.com/office/drawing/2014/main" id="{5809AA5B-DC67-48B3-938E-4D73DDF321D6}"/>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809AA5B-DC67-48B3-938E-4D73DDF321D6}"/>
                        </a:ext>
                      </a:extLst>
                    </pic:cNvPr>
                    <pic:cNvPicPr/>
                  </pic:nvPicPr>
                  <pic:blipFill rotWithShape="1">
                    <a:blip r:embed="rId13">
                      <a:extLst>
                        <a:ext uri="{28A0092B-C50C-407E-A947-70E740481C1C}">
                          <a14:useLocalDpi xmlns:a14="http://schemas.microsoft.com/office/drawing/2010/main" val="0"/>
                        </a:ext>
                      </a:extLst>
                    </a:blip>
                    <a:srcRect r="9936"/>
                    <a:stretch/>
                  </pic:blipFill>
                  <pic:spPr bwMode="auto">
                    <a:xfrm>
                      <a:off x="0" y="0"/>
                      <a:ext cx="5844540" cy="4015740"/>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5FA" w:rsidRPr="00C35FBA">
        <w:rPr>
          <w:rFonts w:ascii="Times New Roman" w:hAnsi="Times New Roman" w:cs="Times New Roman"/>
        </w:rPr>
        <w:t>Water table elevations interpolated using Ordinary Kriging define a clear regional hydraulic gradient across the study area. Two principal flow regimes are observed:</w:t>
      </w:r>
      <w:r w:rsidR="00332FAF" w:rsidRPr="00C35FBA">
        <w:rPr>
          <w:rFonts w:ascii="Times New Roman" w:hAnsi="Times New Roman" w:cs="Times New Roman"/>
        </w:rPr>
        <w:t xml:space="preserve"> (1) </w:t>
      </w:r>
      <w:r w:rsidR="00AA35FA" w:rsidRPr="00C35FBA">
        <w:rPr>
          <w:rFonts w:ascii="Times New Roman" w:hAnsi="Times New Roman" w:cs="Times New Roman"/>
        </w:rPr>
        <w:t>A dominant NE-SW groundwater flow direction</w:t>
      </w:r>
      <w:r w:rsidR="00332FAF" w:rsidRPr="00C35FBA">
        <w:rPr>
          <w:rFonts w:ascii="Times New Roman" w:hAnsi="Times New Roman" w:cs="Times New Roman"/>
        </w:rPr>
        <w:t xml:space="preserve"> and (2) </w:t>
      </w:r>
      <w:r w:rsidR="00AA35FA" w:rsidRPr="00C35FBA">
        <w:rPr>
          <w:rFonts w:ascii="Times New Roman" w:hAnsi="Times New Roman" w:cs="Times New Roman"/>
        </w:rPr>
        <w:t>A subordinate N-S flow component</w:t>
      </w:r>
      <w:r w:rsidR="00332FAF" w:rsidRPr="00C35FBA">
        <w:rPr>
          <w:rFonts w:ascii="Times New Roman" w:hAnsi="Times New Roman" w:cs="Times New Roman"/>
        </w:rPr>
        <w:t xml:space="preserve">. </w:t>
      </w:r>
      <w:r w:rsidR="00AA35FA" w:rsidRPr="00C35FBA">
        <w:rPr>
          <w:rFonts w:ascii="Times New Roman" w:hAnsi="Times New Roman" w:cs="Times New Roman"/>
        </w:rPr>
        <w:t xml:space="preserve">Groundwater flow follows the expected pattern of movement from higher hydraulic head to lower hydraulic head, perpendicular to equipotential contours. Quantitative analysis of head differences across the study area indicates an average hydraulic gradient ranging between 0.02 and 0.03 along the principal NE-SW axis. This gradient magnitude reflects a moderate gravitational driving force typical of shallow unconfined basement aquifers. </w:t>
      </w:r>
      <w:r w:rsidRPr="00963ACE">
        <w:rPr>
          <w:rFonts w:ascii="Times New Roman" w:hAnsi="Times New Roman" w:cs="Times New Roman"/>
        </w:rPr>
        <w:t xml:space="preserve">High hydraulic head zones occur around Tudun Fulani and </w:t>
      </w:r>
      <w:proofErr w:type="spellStart"/>
      <w:r w:rsidRPr="00963ACE">
        <w:rPr>
          <w:rFonts w:ascii="Times New Roman" w:hAnsi="Times New Roman" w:cs="Times New Roman"/>
        </w:rPr>
        <w:t>Maitumbi</w:t>
      </w:r>
      <w:proofErr w:type="spellEnd"/>
      <w:r w:rsidRPr="00963ACE">
        <w:rPr>
          <w:rFonts w:ascii="Times New Roman" w:hAnsi="Times New Roman" w:cs="Times New Roman"/>
        </w:rPr>
        <w:t xml:space="preserve">, whereas lower head values are recorded toward </w:t>
      </w:r>
      <w:proofErr w:type="spellStart"/>
      <w:r w:rsidRPr="00963ACE">
        <w:rPr>
          <w:rFonts w:ascii="Times New Roman" w:hAnsi="Times New Roman" w:cs="Times New Roman"/>
        </w:rPr>
        <w:t>Kpakungu</w:t>
      </w:r>
      <w:proofErr w:type="spellEnd"/>
      <w:r w:rsidRPr="00963ACE">
        <w:rPr>
          <w:rFonts w:ascii="Times New Roman" w:hAnsi="Times New Roman" w:cs="Times New Roman"/>
        </w:rPr>
        <w:t xml:space="preserve"> and surrounding areas.</w:t>
      </w:r>
      <w:r>
        <w:rPr>
          <w:rFonts w:ascii="Times New Roman" w:hAnsi="Times New Roman" w:cs="Times New Roman"/>
        </w:rPr>
        <w:t xml:space="preserve"> </w:t>
      </w:r>
      <w:r w:rsidR="00C35FBA" w:rsidRPr="00C35FBA">
        <w:rPr>
          <w:rFonts w:ascii="Times New Roman" w:hAnsi="Times New Roman" w:cs="Times New Roman"/>
        </w:rPr>
        <w:t>Figure 4</w:t>
      </w:r>
      <w:r w:rsidR="00EB2C3A">
        <w:rPr>
          <w:rFonts w:ascii="Times New Roman" w:hAnsi="Times New Roman" w:cs="Times New Roman"/>
        </w:rPr>
        <w:t xml:space="preserve"> </w:t>
      </w:r>
      <w:r w:rsidR="00C35FBA">
        <w:rPr>
          <w:rFonts w:ascii="Times New Roman" w:hAnsi="Times New Roman" w:cs="Times New Roman"/>
        </w:rPr>
        <w:t>shows</w:t>
      </w:r>
      <w:r w:rsidR="00C35FBA" w:rsidRPr="00C35FBA">
        <w:rPr>
          <w:rFonts w:ascii="Times New Roman" w:hAnsi="Times New Roman" w:cs="Times New Roman"/>
        </w:rPr>
        <w:t xml:space="preserve"> </w:t>
      </w:r>
      <w:r w:rsidR="00C35FBA">
        <w:rPr>
          <w:rFonts w:ascii="Times New Roman" w:hAnsi="Times New Roman" w:cs="Times New Roman"/>
        </w:rPr>
        <w:t>g</w:t>
      </w:r>
      <w:r w:rsidR="00C35FBA" w:rsidRPr="00C35FBA">
        <w:rPr>
          <w:rFonts w:ascii="Times New Roman" w:hAnsi="Times New Roman" w:cs="Times New Roman"/>
        </w:rPr>
        <w:t xml:space="preserve">roundwater flow direction of the study area </w:t>
      </w:r>
      <w:r>
        <w:rPr>
          <w:rFonts w:ascii="Times New Roman" w:hAnsi="Times New Roman" w:cs="Times New Roman"/>
        </w:rPr>
        <w:t>and g</w:t>
      </w:r>
      <w:r w:rsidR="00C35FBA" w:rsidRPr="00C35FBA">
        <w:rPr>
          <w:rFonts w:ascii="Times New Roman" w:hAnsi="Times New Roman" w:cs="Times New Roman"/>
        </w:rPr>
        <w:t xml:space="preserve">roundwater </w:t>
      </w:r>
      <w:r>
        <w:rPr>
          <w:rFonts w:ascii="Times New Roman" w:hAnsi="Times New Roman" w:cs="Times New Roman"/>
        </w:rPr>
        <w:t>e</w:t>
      </w:r>
      <w:r w:rsidR="00C35FBA" w:rsidRPr="00C35FBA">
        <w:rPr>
          <w:rFonts w:ascii="Times New Roman" w:hAnsi="Times New Roman" w:cs="Times New Roman"/>
        </w:rPr>
        <w:t>levation profile</w:t>
      </w:r>
      <w:r>
        <w:rPr>
          <w:rFonts w:ascii="Times New Roman" w:hAnsi="Times New Roman" w:cs="Times New Roman"/>
        </w:rPr>
        <w:t xml:space="preserve"> respectively.</w:t>
      </w:r>
    </w:p>
    <w:p w14:paraId="0C85B8B6" w14:textId="2563010D" w:rsidR="00AA35FA" w:rsidRDefault="00AA35FA" w:rsidP="00AA35FA">
      <w:pPr>
        <w:jc w:val="center"/>
        <w:rPr>
          <w:rFonts w:ascii="Times New Roman" w:hAnsi="Times New Roman" w:cs="Times New Roman"/>
        </w:rPr>
      </w:pPr>
      <w:r w:rsidRPr="00AA35FA">
        <w:rPr>
          <w:rFonts w:ascii="Times New Roman" w:hAnsi="Times New Roman" w:cs="Times New Roman"/>
        </w:rPr>
        <w:t>Figure 4:</w:t>
      </w:r>
      <w:r w:rsidRPr="00481947">
        <w:rPr>
          <w:rFonts w:ascii="Times New Roman" w:hAnsi="Times New Roman" w:cs="Times New Roman"/>
        </w:rPr>
        <w:t xml:space="preserve"> Groundwater flow direction of the study area &amp;</w:t>
      </w:r>
      <w:r w:rsidR="00EB2C3A">
        <w:rPr>
          <w:rFonts w:ascii="Times New Roman" w:hAnsi="Times New Roman" w:cs="Times New Roman"/>
        </w:rPr>
        <w:t xml:space="preserve"> g</w:t>
      </w:r>
      <w:r w:rsidRPr="00481947">
        <w:rPr>
          <w:rFonts w:ascii="Times New Roman" w:hAnsi="Times New Roman" w:cs="Times New Roman"/>
        </w:rPr>
        <w:t xml:space="preserve">roundwater </w:t>
      </w:r>
      <w:r w:rsidR="00EB2C3A">
        <w:rPr>
          <w:rFonts w:ascii="Times New Roman" w:hAnsi="Times New Roman" w:cs="Times New Roman"/>
        </w:rPr>
        <w:t>e</w:t>
      </w:r>
      <w:r w:rsidRPr="00481947">
        <w:rPr>
          <w:rFonts w:ascii="Times New Roman" w:hAnsi="Times New Roman" w:cs="Times New Roman"/>
        </w:rPr>
        <w:t>levation profile</w:t>
      </w:r>
    </w:p>
    <w:p w14:paraId="15E04A50" w14:textId="25C70C5E" w:rsidR="00AA35FA" w:rsidRDefault="00AA35FA" w:rsidP="00AA35FA">
      <w:pPr>
        <w:pStyle w:val="Heading3"/>
      </w:pPr>
      <w:r w:rsidRPr="00BE403E">
        <w:t>Recharge and Discharge Zones</w:t>
      </w:r>
    </w:p>
    <w:p w14:paraId="5BE404C3" w14:textId="64E920D2" w:rsidR="00AA35FA" w:rsidRDefault="00AA35FA" w:rsidP="00AA35FA">
      <w:pPr>
        <w:rPr>
          <w:rFonts w:ascii="Times New Roman" w:hAnsi="Times New Roman" w:cs="Times New Roman"/>
        </w:rPr>
      </w:pPr>
      <w:r w:rsidRPr="00BE403E">
        <w:rPr>
          <w:rFonts w:ascii="Times New Roman" w:hAnsi="Times New Roman" w:cs="Times New Roman"/>
        </w:rPr>
        <w:t>Recharge zones were inferred from potentiometric highs, while discharge zones correspond to hydraulic lows.</w:t>
      </w:r>
      <w:r w:rsidRPr="00481947">
        <w:rPr>
          <w:rFonts w:ascii="Times New Roman" w:hAnsi="Times New Roman" w:cs="Times New Roman"/>
        </w:rPr>
        <w:t xml:space="preserve"> </w:t>
      </w:r>
      <w:r w:rsidRPr="00BE403E">
        <w:rPr>
          <w:rFonts w:ascii="Times New Roman" w:hAnsi="Times New Roman" w:cs="Times New Roman"/>
        </w:rPr>
        <w:t xml:space="preserve">Recharge interpretation is further supported by first-order rainfall–runoff </w:t>
      </w:r>
      <w:r w:rsidRPr="00481947">
        <w:rPr>
          <w:rFonts w:ascii="Times New Roman" w:hAnsi="Times New Roman" w:cs="Times New Roman"/>
        </w:rPr>
        <w:t>modelling</w:t>
      </w:r>
      <w:r w:rsidRPr="00BE403E">
        <w:rPr>
          <w:rFonts w:ascii="Times New Roman" w:hAnsi="Times New Roman" w:cs="Times New Roman"/>
        </w:rPr>
        <w:t xml:space="preserve">, which estimates potential annual infiltration of approximately 3.9 × 10⁷ </w:t>
      </w:r>
      <w:proofErr w:type="spellStart"/>
      <w:r w:rsidRPr="00BE403E">
        <w:rPr>
          <w:rFonts w:ascii="Times New Roman" w:hAnsi="Times New Roman" w:cs="Times New Roman"/>
        </w:rPr>
        <w:t>m³</w:t>
      </w:r>
      <w:proofErr w:type="spellEnd"/>
      <w:r w:rsidRPr="00BE403E">
        <w:rPr>
          <w:rFonts w:ascii="Times New Roman" w:hAnsi="Times New Roman" w:cs="Times New Roman"/>
        </w:rPr>
        <w:t xml:space="preserve"> over the 81 </w:t>
      </w:r>
      <w:proofErr w:type="spellStart"/>
      <w:r w:rsidRPr="00BE403E">
        <w:rPr>
          <w:rFonts w:ascii="Times New Roman" w:hAnsi="Times New Roman" w:cs="Times New Roman"/>
        </w:rPr>
        <w:t>km²</w:t>
      </w:r>
      <w:proofErr w:type="spellEnd"/>
      <w:r w:rsidRPr="00BE403E">
        <w:rPr>
          <w:rFonts w:ascii="Times New Roman" w:hAnsi="Times New Roman" w:cs="Times New Roman"/>
        </w:rPr>
        <w:t xml:space="preserve"> study area.</w:t>
      </w:r>
      <w:r w:rsidRPr="00481947">
        <w:rPr>
          <w:rFonts w:ascii="Times New Roman" w:hAnsi="Times New Roman" w:cs="Times New Roman"/>
        </w:rPr>
        <w:t xml:space="preserve"> </w:t>
      </w:r>
      <w:r w:rsidRPr="00BE403E">
        <w:rPr>
          <w:rFonts w:ascii="Times New Roman" w:hAnsi="Times New Roman" w:cs="Times New Roman"/>
        </w:rPr>
        <w:t xml:space="preserve">Although this value represents potential infiltration rather than net recharge, it provides </w:t>
      </w:r>
      <w:r>
        <w:rPr>
          <w:rFonts w:ascii="Times New Roman" w:hAnsi="Times New Roman" w:cs="Times New Roman"/>
        </w:rPr>
        <w:t xml:space="preserve">a </w:t>
      </w:r>
      <w:r w:rsidRPr="00BE403E">
        <w:rPr>
          <w:rFonts w:ascii="Times New Roman" w:hAnsi="Times New Roman" w:cs="Times New Roman"/>
        </w:rPr>
        <w:t>hydrological context for recharge interpretation derived from the potentiometric surface.</w:t>
      </w:r>
      <w:r w:rsidRPr="00481947">
        <w:rPr>
          <w:rFonts w:ascii="Times New Roman" w:hAnsi="Times New Roman" w:cs="Times New Roman"/>
        </w:rPr>
        <w:t xml:space="preserve"> </w:t>
      </w:r>
      <w:r w:rsidRPr="00BE403E">
        <w:rPr>
          <w:rFonts w:ascii="Times New Roman" w:hAnsi="Times New Roman" w:cs="Times New Roman"/>
        </w:rPr>
        <w:t xml:space="preserve">Discharge zones identified around </w:t>
      </w:r>
      <w:proofErr w:type="spellStart"/>
      <w:r w:rsidRPr="00BE403E">
        <w:rPr>
          <w:rFonts w:ascii="Times New Roman" w:hAnsi="Times New Roman" w:cs="Times New Roman"/>
        </w:rPr>
        <w:t>Kpakungu</w:t>
      </w:r>
      <w:proofErr w:type="spellEnd"/>
      <w:r w:rsidRPr="00BE403E">
        <w:rPr>
          <w:rFonts w:ascii="Times New Roman" w:hAnsi="Times New Roman" w:cs="Times New Roman"/>
        </w:rPr>
        <w:t xml:space="preserve"> correspond to areas where groundwater </w:t>
      </w:r>
      <w:r w:rsidRPr="00BE403E">
        <w:rPr>
          <w:rFonts w:ascii="Times New Roman" w:hAnsi="Times New Roman" w:cs="Times New Roman"/>
        </w:rPr>
        <w:lastRenderedPageBreak/>
        <w:t>flow converges and hydraulic head declines, suggesting potential groundwater outflow or surface water interaction</w:t>
      </w:r>
      <w:r>
        <w:rPr>
          <w:rFonts w:ascii="Times New Roman" w:hAnsi="Times New Roman" w:cs="Times New Roman"/>
        </w:rPr>
        <w:t>.</w:t>
      </w:r>
      <w:r w:rsidR="00EB2C3A">
        <w:rPr>
          <w:rFonts w:ascii="Times New Roman" w:hAnsi="Times New Roman" w:cs="Times New Roman"/>
        </w:rPr>
        <w:t xml:space="preserve"> </w:t>
      </w:r>
      <w:r w:rsidR="00EB2C3A" w:rsidRPr="00EB2C3A">
        <w:rPr>
          <w:rFonts w:ascii="Times New Roman" w:hAnsi="Times New Roman" w:cs="Times New Roman"/>
          <w:bCs/>
        </w:rPr>
        <w:t>Figure 5</w:t>
      </w:r>
      <w:r w:rsidR="00EB2C3A">
        <w:rPr>
          <w:rFonts w:ascii="Times New Roman" w:hAnsi="Times New Roman" w:cs="Times New Roman"/>
          <w:bCs/>
        </w:rPr>
        <w:t xml:space="preserve"> shows the</w:t>
      </w:r>
      <w:r w:rsidR="00EB2C3A" w:rsidRPr="00EB2C3A">
        <w:rPr>
          <w:rFonts w:ascii="Times New Roman" w:hAnsi="Times New Roman" w:cs="Times New Roman"/>
        </w:rPr>
        <w:t xml:space="preserve"> </w:t>
      </w:r>
      <w:r w:rsidR="00EB2C3A">
        <w:rPr>
          <w:rFonts w:ascii="Times New Roman" w:hAnsi="Times New Roman" w:cs="Times New Roman"/>
        </w:rPr>
        <w:t>r</w:t>
      </w:r>
      <w:r w:rsidR="00EB2C3A" w:rsidRPr="00EB2C3A">
        <w:rPr>
          <w:rFonts w:ascii="Times New Roman" w:hAnsi="Times New Roman" w:cs="Times New Roman"/>
        </w:rPr>
        <w:t xml:space="preserve">echarge and </w:t>
      </w:r>
      <w:r w:rsidR="00EB2C3A">
        <w:rPr>
          <w:rFonts w:ascii="Times New Roman" w:hAnsi="Times New Roman" w:cs="Times New Roman"/>
        </w:rPr>
        <w:t>d</w:t>
      </w:r>
      <w:r w:rsidR="00EB2C3A" w:rsidRPr="00EB2C3A">
        <w:rPr>
          <w:rFonts w:ascii="Times New Roman" w:hAnsi="Times New Roman" w:cs="Times New Roman"/>
        </w:rPr>
        <w:t>ischarge areas of the study area</w:t>
      </w:r>
      <w:r w:rsidR="00EB2C3A">
        <w:rPr>
          <w:rFonts w:ascii="Times New Roman" w:hAnsi="Times New Roman" w:cs="Times New Roman"/>
        </w:rPr>
        <w:t>.</w:t>
      </w:r>
    </w:p>
    <w:p w14:paraId="0DBEA8FE" w14:textId="7257629C" w:rsidR="00AA35FA" w:rsidRPr="00AA35FA" w:rsidRDefault="00AA35FA" w:rsidP="00AA35FA">
      <w:pPr>
        <w:jc w:val="center"/>
      </w:pPr>
      <w:r w:rsidRPr="00AA35FA">
        <w:rPr>
          <w:bCs/>
          <w:noProof/>
        </w:rPr>
        <w:drawing>
          <wp:anchor distT="0" distB="0" distL="114300" distR="114300" simplePos="0" relativeHeight="251663360" behindDoc="1" locked="0" layoutInCell="1" allowOverlap="1" wp14:anchorId="24570BE2" wp14:editId="07577887">
            <wp:simplePos x="0" y="0"/>
            <wp:positionH relativeFrom="column">
              <wp:posOffset>-45720</wp:posOffset>
            </wp:positionH>
            <wp:positionV relativeFrom="paragraph">
              <wp:posOffset>160020</wp:posOffset>
            </wp:positionV>
            <wp:extent cx="5731510" cy="4862195"/>
            <wp:effectExtent l="19050" t="19050" r="21590" b="14605"/>
            <wp:wrapTight wrapText="bothSides">
              <wp:wrapPolygon edited="0">
                <wp:start x="-72" y="-85"/>
                <wp:lineTo x="-72" y="21580"/>
                <wp:lineTo x="21610" y="21580"/>
                <wp:lineTo x="21610" y="-85"/>
                <wp:lineTo x="-72" y="-85"/>
              </wp:wrapPolygon>
            </wp:wrapTight>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862195"/>
                    </a:xfrm>
                    <a:prstGeom prst="rect">
                      <a:avLst/>
                    </a:prstGeom>
                    <a:noFill/>
                    <a:ln>
                      <a:solidFill>
                        <a:schemeClr val="bg1"/>
                      </a:solidFill>
                    </a:ln>
                  </pic:spPr>
                </pic:pic>
              </a:graphicData>
            </a:graphic>
          </wp:anchor>
        </w:drawing>
      </w:r>
      <w:r w:rsidRPr="00AA35FA">
        <w:rPr>
          <w:rFonts w:ascii="Times New Roman" w:hAnsi="Times New Roman" w:cs="Times New Roman"/>
          <w:bCs/>
        </w:rPr>
        <w:t>Figure 5</w:t>
      </w:r>
      <w:r w:rsidRPr="00481947">
        <w:rPr>
          <w:rFonts w:ascii="Times New Roman" w:hAnsi="Times New Roman" w:cs="Times New Roman"/>
        </w:rPr>
        <w:t>: Recharge and Discharge areas of the study area</w:t>
      </w:r>
    </w:p>
    <w:p w14:paraId="350A4265" w14:textId="7A9FD27B" w:rsidR="00227FA7" w:rsidRDefault="00BC56C5" w:rsidP="00BC56C5">
      <w:pPr>
        <w:pStyle w:val="Heading3"/>
      </w:pPr>
      <w:r w:rsidRPr="004F14FA">
        <w:t>Relationship Between Structural Orientation and Groundwater Flow</w:t>
      </w:r>
    </w:p>
    <w:p w14:paraId="29A44AC3" w14:textId="78682A6F" w:rsidR="00BC56C5" w:rsidRDefault="00BC56C5" w:rsidP="00BC56C5">
      <w:pPr>
        <w:rPr>
          <w:rFonts w:ascii="Times New Roman" w:hAnsi="Times New Roman" w:cs="Times New Roman"/>
        </w:rPr>
      </w:pPr>
      <w:r w:rsidRPr="004F14FA">
        <w:rPr>
          <w:rFonts w:ascii="Times New Roman" w:hAnsi="Times New Roman" w:cs="Times New Roman"/>
        </w:rPr>
        <w:t>Comparison of structural orientation and groundwater flow patterns reveals geometric correspondence between the dominant NNE</w:t>
      </w:r>
      <w:r w:rsidRPr="00481947">
        <w:rPr>
          <w:rFonts w:ascii="Times New Roman" w:hAnsi="Times New Roman" w:cs="Times New Roman"/>
        </w:rPr>
        <w:t>-</w:t>
      </w:r>
      <w:r w:rsidRPr="004F14FA">
        <w:rPr>
          <w:rFonts w:ascii="Times New Roman" w:hAnsi="Times New Roman" w:cs="Times New Roman"/>
        </w:rPr>
        <w:t>SSW joint orientation and the principal NE</w:t>
      </w:r>
      <w:r w:rsidRPr="00481947">
        <w:rPr>
          <w:rFonts w:ascii="Times New Roman" w:hAnsi="Times New Roman" w:cs="Times New Roman"/>
        </w:rPr>
        <w:t>-</w:t>
      </w:r>
      <w:r w:rsidRPr="004F14FA">
        <w:rPr>
          <w:rFonts w:ascii="Times New Roman" w:hAnsi="Times New Roman" w:cs="Times New Roman"/>
        </w:rPr>
        <w:t>SW groundwater flow direction</w:t>
      </w:r>
      <w:r>
        <w:rPr>
          <w:rFonts w:ascii="Times New Roman" w:hAnsi="Times New Roman" w:cs="Times New Roman"/>
        </w:rPr>
        <w:t xml:space="preserve">. </w:t>
      </w:r>
      <w:r w:rsidRPr="004F14FA">
        <w:rPr>
          <w:rFonts w:ascii="Times New Roman" w:hAnsi="Times New Roman" w:cs="Times New Roman"/>
        </w:rPr>
        <w:t>This alignment suggests fracture-controlled anisotropy, where structural discontinuities enhance secondary permeability and guide subsurface flow preferentially along structurally weakened zones.</w:t>
      </w:r>
      <w:r w:rsidRPr="00481947">
        <w:rPr>
          <w:rFonts w:ascii="Times New Roman" w:hAnsi="Times New Roman" w:cs="Times New Roman"/>
        </w:rPr>
        <w:t xml:space="preserve"> </w:t>
      </w:r>
      <w:r w:rsidRPr="004F14FA">
        <w:rPr>
          <w:rFonts w:ascii="Times New Roman" w:hAnsi="Times New Roman" w:cs="Times New Roman"/>
        </w:rPr>
        <w:t>While fracture density was not quantitatively measured, the observed structural-flow relationship supports the interpretation that joint systems exert significant control on groundwater movement within the basement complex terrain</w:t>
      </w:r>
      <w:r>
        <w:rPr>
          <w:rFonts w:ascii="Times New Roman" w:hAnsi="Times New Roman" w:cs="Times New Roman"/>
        </w:rPr>
        <w:t>.</w:t>
      </w:r>
    </w:p>
    <w:p w14:paraId="4BB02C39" w14:textId="77777777" w:rsidR="00EB2C3A" w:rsidRDefault="00EB2C3A" w:rsidP="00BC56C5">
      <w:pPr>
        <w:rPr>
          <w:rFonts w:ascii="Times New Roman" w:hAnsi="Times New Roman" w:cs="Times New Roman"/>
        </w:rPr>
      </w:pPr>
    </w:p>
    <w:p w14:paraId="6E7144D8" w14:textId="77777777" w:rsidR="00EB2C3A" w:rsidRDefault="00EB2C3A" w:rsidP="00BC56C5">
      <w:pPr>
        <w:rPr>
          <w:rFonts w:ascii="Times New Roman" w:hAnsi="Times New Roman" w:cs="Times New Roman"/>
        </w:rPr>
      </w:pPr>
    </w:p>
    <w:p w14:paraId="0BC77867" w14:textId="7E62D0FE" w:rsidR="00BC56C5" w:rsidRDefault="00BC56C5" w:rsidP="00BC56C5">
      <w:pPr>
        <w:pStyle w:val="Heading3"/>
      </w:pPr>
      <w:r w:rsidRPr="004F14FA">
        <w:lastRenderedPageBreak/>
        <w:t>Overburden Thickness and Implications for Vulnerability</w:t>
      </w:r>
    </w:p>
    <w:p w14:paraId="02017C98" w14:textId="230DBEF0" w:rsidR="00BC56C5" w:rsidRDefault="00BC56C5" w:rsidP="00BC56C5">
      <w:r w:rsidRPr="004F14FA">
        <w:rPr>
          <w:rFonts w:ascii="Times New Roman" w:hAnsi="Times New Roman" w:cs="Times New Roman"/>
        </w:rPr>
        <w:t>Field measurements indicate overburden thickness ranging from 0.5</w:t>
      </w:r>
      <w:r>
        <w:rPr>
          <w:rFonts w:ascii="Times New Roman" w:hAnsi="Times New Roman" w:cs="Times New Roman"/>
        </w:rPr>
        <w:t xml:space="preserve"> to </w:t>
      </w:r>
      <w:proofErr w:type="spellStart"/>
      <w:r w:rsidRPr="004F14FA">
        <w:rPr>
          <w:rFonts w:ascii="Times New Roman" w:hAnsi="Times New Roman" w:cs="Times New Roman"/>
        </w:rPr>
        <w:t>1.0m</w:t>
      </w:r>
      <w:proofErr w:type="spellEnd"/>
      <w:r w:rsidRPr="004F14FA">
        <w:rPr>
          <w:rFonts w:ascii="Times New Roman" w:hAnsi="Times New Roman" w:cs="Times New Roman"/>
        </w:rPr>
        <w:t xml:space="preserve"> across the study area.</w:t>
      </w:r>
      <w:r w:rsidRPr="00481947">
        <w:rPr>
          <w:rFonts w:ascii="Times New Roman" w:hAnsi="Times New Roman" w:cs="Times New Roman"/>
        </w:rPr>
        <w:t xml:space="preserve"> </w:t>
      </w:r>
      <w:r w:rsidRPr="004F14FA">
        <w:rPr>
          <w:rFonts w:ascii="Times New Roman" w:hAnsi="Times New Roman" w:cs="Times New Roman"/>
        </w:rPr>
        <w:t xml:space="preserve">The thin vadose zone suggests limited vertical filtration capacity </w:t>
      </w:r>
      <w:r>
        <w:rPr>
          <w:rFonts w:ascii="Times New Roman" w:hAnsi="Times New Roman" w:cs="Times New Roman"/>
        </w:rPr>
        <w:t>before</w:t>
      </w:r>
      <w:r w:rsidRPr="004F14FA">
        <w:rPr>
          <w:rFonts w:ascii="Times New Roman" w:hAnsi="Times New Roman" w:cs="Times New Roman"/>
        </w:rPr>
        <w:t xml:space="preserve"> groundwater recharge.</w:t>
      </w:r>
      <w:r w:rsidRPr="00481947">
        <w:rPr>
          <w:rFonts w:ascii="Times New Roman" w:hAnsi="Times New Roman" w:cs="Times New Roman"/>
        </w:rPr>
        <w:t xml:space="preserve"> Although no formal vulnerability index, such as the DRASTIC model, was applied</w:t>
      </w:r>
      <w:r w:rsidRPr="004F14FA">
        <w:rPr>
          <w:rFonts w:ascii="Times New Roman" w:hAnsi="Times New Roman" w:cs="Times New Roman"/>
        </w:rPr>
        <w:t>, the observed thin overburden thickness indicates moderate to high vulnerability to surface-derived contamination</w:t>
      </w:r>
      <w:r>
        <w:rPr>
          <w:rFonts w:ascii="Times New Roman" w:hAnsi="Times New Roman" w:cs="Times New Roman"/>
        </w:rPr>
        <w:t xml:space="preserve">. </w:t>
      </w:r>
    </w:p>
    <w:p w14:paraId="1CFE2931" w14:textId="70F96487" w:rsidR="00452A9C" w:rsidRDefault="00452A9C" w:rsidP="00452A9C">
      <w:pPr>
        <w:pStyle w:val="Heading2"/>
      </w:pPr>
      <w:r>
        <w:t>Discussion</w:t>
      </w:r>
      <w:r w:rsidR="00AB3BBD">
        <w:t>s</w:t>
      </w:r>
      <w:r>
        <w:t xml:space="preserve"> and Limitations</w:t>
      </w:r>
    </w:p>
    <w:p w14:paraId="4D3491C3" w14:textId="39E2508A" w:rsidR="00B556F2" w:rsidRDefault="00BC56C5" w:rsidP="00BC56C5">
      <w:pPr>
        <w:pStyle w:val="Heading3"/>
      </w:pPr>
      <w:r w:rsidRPr="00AE0952">
        <w:t>Structural Control and Groundwater Flow Dynamics</w:t>
      </w:r>
      <w:r w:rsidRPr="00481947">
        <w:t xml:space="preserve"> of the </w:t>
      </w:r>
      <w:r>
        <w:t>Area</w:t>
      </w:r>
      <w:r w:rsidR="00B556F2">
        <w:t>.</w:t>
      </w:r>
    </w:p>
    <w:p w14:paraId="7496B36D" w14:textId="56A58830" w:rsidR="00BC56C5" w:rsidRPr="00AE0952" w:rsidRDefault="00BC56C5" w:rsidP="00BC56C5">
      <w:pPr>
        <w:tabs>
          <w:tab w:val="left" w:pos="1008"/>
        </w:tabs>
        <w:rPr>
          <w:rFonts w:ascii="Times New Roman" w:hAnsi="Times New Roman" w:cs="Times New Roman"/>
        </w:rPr>
      </w:pPr>
      <w:r w:rsidRPr="00AE0952">
        <w:rPr>
          <w:rFonts w:ascii="Times New Roman" w:hAnsi="Times New Roman" w:cs="Times New Roman"/>
        </w:rPr>
        <w:t>The hydrogeological behavior of basement aquifers is fundamentally governed by secondary porosity developed through weathering and fracturing</w:t>
      </w:r>
      <w:r w:rsidR="00831E7D">
        <w:rPr>
          <w:rFonts w:ascii="Times New Roman" w:hAnsi="Times New Roman" w:cs="Times New Roman"/>
        </w:rPr>
        <w:t>.</w:t>
      </w:r>
      <w:r w:rsidRPr="00481947">
        <w:rPr>
          <w:rFonts w:ascii="Times New Roman" w:hAnsi="Times New Roman" w:cs="Times New Roman"/>
        </w:rPr>
        <w:t xml:space="preserve"> </w:t>
      </w:r>
      <w:r w:rsidRPr="00481947">
        <w:rPr>
          <w:rFonts w:ascii="Times New Roman" w:hAnsi="Times New Roman" w:cs="Times New Roman"/>
        </w:rPr>
        <w:fldChar w:fldCharType="begin" w:fldLock="1"/>
      </w:r>
      <w:r w:rsidR="007D5B49">
        <w:rPr>
          <w:rFonts w:ascii="Times New Roman" w:hAnsi="Times New Roman" w:cs="Times New Roman"/>
        </w:rPr>
        <w:instrText>ADDIN CSL_CITATION {"citationItems":[{"id":"ITEM-1","itemData":{"abstract":"A study on the water quality of unconfined shallow aquifers was conducted with the aim of assessing physicochemical and bacteriological contamination of groundwater as a result of poor design of water and sanitation facilities in Bida, Nigeria. The study was conducted using a grid-based approach on wells, boreholes, surface water and households. The water has a high Total Dissolved Solids. Slightly acidic pH and mean distance of wells to waste disposal facilities is 12m. Chemical parameters that occur in high concentrations are sulphates, chlorides, nitrates and sodium and total coliform is very high. Contamination of deeper sources of water from the dug wells is both lateral and vertical with contamination plume spreading to better planned areas. Surface water has the least contamination and is proposed for water supply. Sanitation facilities should be upgraded from pit to ventilated improved pit latrines.","author":[{"dropping-particle":"","family":"Salihu","given":"H D","non-dropping-particle":"","parse-names":false,"suffix":""},{"dropping-particle":"","family":"Jimada","given":"A M","non-dropping-particle":"","parse-names":false,"suffix":""}],"id":"ITEM-1","issued":{"date-parts":[["2016"]]},"page":"1-6","title":"Groundwater quality in shallow unconfined sedimentary aquifers in Bida , Nigeria","type":"article-journal"},"uris":["http://www.mendeley.com/documents/?uuid=e9aa23b9-611a-439f-ba63-963a3c7b92fe","http://www.mendeley.com/documents/?uuid=02b4e492-984d-4029-93cb-f22c6dd16e3b"]}],"mendeley":{"formattedCitation":"(Salihu &amp; Jimada, 2016)","plainTextFormattedCitation":"(Salihu &amp; Jimada, 2016)","previouslyFormattedCitation":"(Salihu &amp; Jimada, 2016)"},"properties":{"noteIndex":0},"schema":"https://github.com/citation-style-language/schema/raw/master/csl-citation.json"}</w:instrText>
      </w:r>
      <w:r w:rsidRPr="00481947">
        <w:rPr>
          <w:rFonts w:ascii="Times New Roman" w:hAnsi="Times New Roman" w:cs="Times New Roman"/>
        </w:rPr>
        <w:fldChar w:fldCharType="separate"/>
      </w:r>
      <w:r w:rsidRPr="00481947">
        <w:rPr>
          <w:rFonts w:ascii="Times New Roman" w:hAnsi="Times New Roman" w:cs="Times New Roman"/>
          <w:noProof/>
        </w:rPr>
        <w:t>(Salihu &amp; Jimada, 2016)</w:t>
      </w:r>
      <w:r w:rsidRPr="00481947">
        <w:rPr>
          <w:rFonts w:ascii="Times New Roman" w:hAnsi="Times New Roman" w:cs="Times New Roman"/>
        </w:rPr>
        <w:fldChar w:fldCharType="end"/>
      </w:r>
      <w:r w:rsidRPr="00AE0952">
        <w:rPr>
          <w:rFonts w:ascii="Times New Roman" w:hAnsi="Times New Roman" w:cs="Times New Roman"/>
        </w:rPr>
        <w:t>. In the present study area, the dominance of granite and subordinate schist is consistent with regional basement complex geology. Groundwater occurrence is confined primarily to the weathered regolith and underlying fractured zones.</w:t>
      </w:r>
      <w:r w:rsidRPr="00481947">
        <w:rPr>
          <w:rFonts w:ascii="Times New Roman" w:hAnsi="Times New Roman" w:cs="Times New Roman"/>
        </w:rPr>
        <w:t xml:space="preserve"> </w:t>
      </w:r>
      <w:r w:rsidRPr="00AE0952">
        <w:rPr>
          <w:rFonts w:ascii="Times New Roman" w:hAnsi="Times New Roman" w:cs="Times New Roman"/>
        </w:rPr>
        <w:t>The rosette diagram indicates a dominant NNE</w:t>
      </w:r>
      <w:r w:rsidRPr="00481947">
        <w:rPr>
          <w:rFonts w:ascii="Times New Roman" w:hAnsi="Times New Roman" w:cs="Times New Roman"/>
        </w:rPr>
        <w:t>-</w:t>
      </w:r>
      <w:r w:rsidRPr="00AE0952">
        <w:rPr>
          <w:rFonts w:ascii="Times New Roman" w:hAnsi="Times New Roman" w:cs="Times New Roman"/>
        </w:rPr>
        <w:t>SSW joint orientation, while the potentiometric surface reveals a principal groundwater flow direction trending NE</w:t>
      </w:r>
      <w:r w:rsidRPr="00481947">
        <w:rPr>
          <w:rFonts w:ascii="Times New Roman" w:hAnsi="Times New Roman" w:cs="Times New Roman"/>
        </w:rPr>
        <w:t>-</w:t>
      </w:r>
      <w:r w:rsidRPr="00AE0952">
        <w:rPr>
          <w:rFonts w:ascii="Times New Roman" w:hAnsi="Times New Roman" w:cs="Times New Roman"/>
        </w:rPr>
        <w:t>SW. The observed geometric alignment between these structural and hydraulic trends suggests structural anisotropy influencing groundwater movement</w:t>
      </w:r>
      <w:r w:rsidR="00A36C19">
        <w:rPr>
          <w:rFonts w:ascii="Times New Roman" w:hAnsi="Times New Roman" w:cs="Times New Roman"/>
        </w:rPr>
        <w:t xml:space="preserve"> </w:t>
      </w:r>
      <w:r w:rsidR="00A36C19">
        <w:rPr>
          <w:rFonts w:ascii="Times New Roman" w:hAnsi="Times New Roman" w:cs="Times New Roman"/>
        </w:rPr>
        <w:fldChar w:fldCharType="begin" w:fldLock="1"/>
      </w:r>
      <w:r w:rsidR="004007B6">
        <w:rPr>
          <w:rFonts w:ascii="Times New Roman" w:hAnsi="Times New Roman" w:cs="Times New Roman"/>
        </w:rPr>
        <w:instrText>ADDIN CSL_CITATION {"citationItems":[{"id":"ITEM-1","itemData":{"DOI":"10.1016/j.gsd.2022.100780","ISSN":"2352801X","abstract":"Groundwater circulation in fractured aquifer systems is a topic of worldwide interest as they are heterogeneous and peculiar environments. In Brazil, little is known about the groundwater flow within fractured rocks. This knowledge gap motivated the investigation of (1) the statistical variance of the exploited discharges and their relationship with the directions of geological lineaments, (2) the analyzes of the relationship between of the groundwater flow with the different characteristics of the discontinuities and (3) the correlation between the acting stresses with the fracturing geometries that present groundwater flow. To reach these objectives, this paper is circumscribed within the following methods: frequency graphs, normality assumptions test, non-parametric homogeneity tests, multiple correspondence analysis, scanline profiles, and in situ stress analysis. This study was carried out in the Serra Geral Fractured Aquifer System, in Caxias do Sul, Rio Grande do Sul, Brazil. The results showed that most the exploited water wells are associated with the NW-SE and NE-SW lineament directions. There was a predominance of four sets of subvertical fractures (S1, S2, S3, and S4) and one sub-horizontal (S5). Sets of fractures S3, S4, and S5 showed the greatest persistence of fractures and presence of exudation. The tension axes σ1 and σ3 were identified in the (310°; 113°–141°) and (218°; 020°–051°) directions, respectively. The groundwater circulation in sets of fractures S3 and S4 is related to tensions σ1 and σ3 and the most exploited lineament directions NW-SE and NE-SW, while S5 is correlated to tension σ2 and behaves as a facilitator of the groundwater circulation in the underground flow network.","author":[{"dropping-particle":"","family":"Vargas","given":"Tiago","non-dropping-particle":"De","parse-names":false,"suffix":""},{"dropping-particle":"","family":"Boff","given":"Fernando Eduardo","non-dropping-particle":"","parse-names":false,"suffix":""},{"dropping-particle":"","family":"Belladona","given":"Rossano","non-dropping-particle":"","parse-names":false,"suffix":""},{"dropping-particle":"","family":"Faccioni","given":"Luis Felipe","non-dropping-particle":"","parse-names":false,"suffix":""},{"dropping-particle":"","family":"Reginato","given":"Pedro Antônio Roehe","non-dropping-particle":"","parse-names":false,"suffix":""},{"dropping-particle":"","family":"Carlos","given":"Franciéle Schwanck","non-dropping-particle":"","parse-names":false,"suffix":""}],"container-title":"Groundwater for Sustainable Development","id":"ITEM-1","issued":{"date-parts":[["2022"]]},"title":"Influence of geological discontinuities on the groundwater flow of the Serra Geral Fractured Aquifer System","type":"article-journal","volume":"18"},"uris":["http://www.mendeley.com/documents/?uuid=fab8b277-a38f-4a50-9f9d-8cdd5b31259b"]},{"id":"ITEM-2","itemData":{"DOI":"10.3390/geosciences15070239","ISSN":"20763263","abstract":"Managing groundwater flow in crystalline basement aquifers (CBAs) remains challenging due to their dependence on secondary permeability fields characterized by high spatial variability. This study combines pumping and tracer tests to estimate the hydraulic properties and connectivity in four bedrock wells within a CBA in Southwestern Nigeria. The pumping tests caused drawdowns up to 4.13 m and 12.60 m in observation and pumping wells, with significant drawdowns only in three of four wells, revealing poor connection with the fourth well. The time-drawdown plots confirm double porosity effects suggesting fracture and matrix flow and release of water from a fractured dyke. Fracture and matrix hydraulic conductivities exceeded 7.9 × 10−7 m/s and 1.00 × 10−10 m/s, while the aquifer yield ranged from 0.08 to 0.34%. Groundwater flow velocity and dispersivity of 5.80 × 10−4 m/s and 2.60 m were estimated from the tracer test, while a Peclet number of 3.25 suggests dominant advective flow. Calculated sustainable yield shows that each well could provide water for up to 1600 people under controlled low pumping at 0.50 l/s with higher rates possible using larger diameter wells. These results confirm high variability in groundwater flow within CBAs, justifying the need to characterize them effectively.","author":[{"dropping-particle":"","family":"Doro","given":"Kennedy O.","non-dropping-particle":"","parse-names":false,"suffix":""},{"dropping-particle":"","family":"Olabode","given":"Phebe I.","non-dropping-particle":"","parse-names":false,"suffix":""},{"dropping-particle":"","family":"Adeniran","given":"Margaret A.","non-dropping-particle":"","parse-names":false,"suffix":""},{"dropping-particle":"","family":"Oladunjoye","given":"Michael A.","non-dropping-particle":"","parse-names":false,"suffix":""}],"container-title":"Geosciences (Switzerland)","id":"ITEM-2","issue":"7","issued":{"date-parts":[["2025"]]},"title":"Understanding Complex Hydraulic Heterogeneities in Crystalline Basement Aquifers Used as Drinking Water Sources","type":"article-journal","volume":"15"},"uris":["http://www.mendeley.com/documents/?uuid=f548f10d-bed4-4209-8acc-31bf88fe715e"]}],"mendeley":{"formattedCitation":"(De Vargas et al., 2022; Doro et al., 2025)","plainTextFormattedCitation":"(De Vargas et al., 2022; Doro et al., 2025)","previouslyFormattedCitation":"(De Vargas et al., 2022)"},"properties":{"noteIndex":0},"schema":"https://github.com/citation-style-language/schema/raw/master/csl-citation.json"}</w:instrText>
      </w:r>
      <w:r w:rsidR="00A36C19">
        <w:rPr>
          <w:rFonts w:ascii="Times New Roman" w:hAnsi="Times New Roman" w:cs="Times New Roman"/>
        </w:rPr>
        <w:fldChar w:fldCharType="separate"/>
      </w:r>
      <w:r w:rsidR="004007B6" w:rsidRPr="004007B6">
        <w:rPr>
          <w:rFonts w:ascii="Times New Roman" w:hAnsi="Times New Roman" w:cs="Times New Roman"/>
          <w:noProof/>
        </w:rPr>
        <w:t>(De Vargas et al., 2022; Doro et al., 2025)</w:t>
      </w:r>
      <w:r w:rsidR="00A36C19">
        <w:rPr>
          <w:rFonts w:ascii="Times New Roman" w:hAnsi="Times New Roman" w:cs="Times New Roman"/>
        </w:rPr>
        <w:fldChar w:fldCharType="end"/>
      </w:r>
      <w:r w:rsidRPr="00AE0952">
        <w:rPr>
          <w:rFonts w:ascii="Times New Roman" w:hAnsi="Times New Roman" w:cs="Times New Roman"/>
        </w:rPr>
        <w:t>.</w:t>
      </w:r>
    </w:p>
    <w:p w14:paraId="7DB490D9" w14:textId="4DCD51B8" w:rsidR="00BC56C5" w:rsidRDefault="00BC56C5" w:rsidP="00BC56C5">
      <w:r w:rsidRPr="00AE0952">
        <w:rPr>
          <w:rFonts w:ascii="Times New Roman" w:hAnsi="Times New Roman" w:cs="Times New Roman"/>
        </w:rPr>
        <w:t xml:space="preserve">Although fracture density and aperture were not quantitatively measured, the correspondence between joint orientation and groundwater flow direction supports fracture-controlled permeability typical of basement terrains. </w:t>
      </w:r>
      <w:r w:rsidRPr="00481947">
        <w:rPr>
          <w:rFonts w:ascii="Times New Roman" w:hAnsi="Times New Roman" w:cs="Times New Roman"/>
        </w:rPr>
        <w:t>Similar structural influence on groundwater flow has been reported in other crystalline environments within Nigeria, where groundwater productivity is strongly linked to fracture connectivity rather than primary porosity</w:t>
      </w:r>
      <w:r w:rsidR="00831E7D">
        <w:rPr>
          <w:rFonts w:ascii="Times New Roman" w:hAnsi="Times New Roman" w:cs="Times New Roman"/>
        </w:rPr>
        <w:t>.</w:t>
      </w:r>
      <w:r>
        <w:rPr>
          <w:rFonts w:ascii="Times New Roman" w:hAnsi="Times New Roman" w:cs="Times New Roman"/>
        </w:rPr>
        <w:t xml:space="preserve"> </w:t>
      </w:r>
      <w:r w:rsidRPr="00481947">
        <w:rPr>
          <w:rFonts w:ascii="Times New Roman" w:hAnsi="Times New Roman" w:cs="Times New Roman"/>
        </w:rPr>
        <w:fldChar w:fldCharType="begin" w:fldLock="1"/>
      </w:r>
      <w:r w:rsidR="007D5B49">
        <w:rPr>
          <w:rFonts w:ascii="Times New Roman" w:hAnsi="Times New Roman" w:cs="Times New Roman"/>
        </w:rPr>
        <w:instrText>ADDIN CSL_CITATION {"citationItems":[{"id":"ITEM-1","itemData":{"DOI":"10.1088/1748-9326/ab1a5f","ISSN":"17489326","abstract":"Population growth, economic development, and dietary changes have drastically increased the demand for food and water. The resulting expansion of irrigated agriculture into semi-arid areas with limited precipitation and surface water has greatly increased the dependence of irrigated crops on groundwater withdrawal. Also, the increasing number of people living in mega-cities without access to clean surface water or piped drinking water has drastically increased urban groundwater use. The result of these trends has been the steady increase of the use of non-renewable groundwater resources and associated high rates of aquifer depletion around the globe. We present a comprehensive review of the state-of-the-art in research on non-renewable groundwater use and groundwater depletion. We start with a section defining the concepts of non-renewable groundwater, fossil groundwater and groundwater depletion and place these concepts in a hydrogeological perspective. We pay particular attention to the interaction between groundwater withdrawal, recharge and surface water which is critical to understanding sustainable groundwater withdrawal. We provide an overview of methods that have been used to estimate groundwater depletion, followed by an extensive review of global and regional depletion estimates, the adverse impacts of groundwater depletion and the hydroeconomics of groundwater use. We end this review with an outlook for future research based on main research gaps and challenges identified. This review shows that both the estimates of current depletion rates and the future availability of non-renewable groundwater are highly uncertain and that considerable data and research challenges need to be overcome if we hope to reduce this uncertainty in the near future.","author":[{"dropping-particle":"","family":"Bierkens","given":"Marc F.P.","non-dropping-particle":"","parse-names":false,"suffix":""},{"dropping-particle":"","family":"Wada","given":"Yoshihide","non-dropping-particle":"","parse-names":false,"suffix":""}],"container-title":"Environmental Research Letters","id":"ITEM-1","issue":"6","issued":{"date-parts":[["2019"]]},"title":"Non-renewable groundwater use and groundwater depletion: A review","type":"article-journal","volume":"14"},"uris":["http://www.mendeley.com/documents/?uuid=bfdd059e-abcd-4deb-8120-1e080cb937e6","http://www.mendeley.com/documents/?uuid=7764af5b-7e11-469f-8243-79cd2078ce95"]}],"mendeley":{"formattedCitation":"(Bierkens &amp; Wada, 2019)","plainTextFormattedCitation":"(Bierkens &amp; Wada, 2019)","previouslyFormattedCitation":"(Bierkens &amp; Wada, 2019)"},"properties":{"noteIndex":0},"schema":"https://github.com/citation-style-language/schema/raw/master/csl-citation.json"}</w:instrText>
      </w:r>
      <w:r w:rsidRPr="00481947">
        <w:rPr>
          <w:rFonts w:ascii="Times New Roman" w:hAnsi="Times New Roman" w:cs="Times New Roman"/>
        </w:rPr>
        <w:fldChar w:fldCharType="separate"/>
      </w:r>
      <w:r w:rsidRPr="00481947">
        <w:rPr>
          <w:rFonts w:ascii="Times New Roman" w:hAnsi="Times New Roman" w:cs="Times New Roman"/>
          <w:noProof/>
        </w:rPr>
        <w:t>(Bierkens &amp; Wada, 2019)</w:t>
      </w:r>
      <w:r w:rsidRPr="00481947">
        <w:rPr>
          <w:rFonts w:ascii="Times New Roman" w:hAnsi="Times New Roman" w:cs="Times New Roman"/>
        </w:rPr>
        <w:fldChar w:fldCharType="end"/>
      </w:r>
      <w:r w:rsidRPr="00AE0952">
        <w:rPr>
          <w:rFonts w:ascii="Times New Roman" w:hAnsi="Times New Roman" w:cs="Times New Roman"/>
        </w:rPr>
        <w:t>.</w:t>
      </w:r>
      <w:r w:rsidRPr="00481947">
        <w:rPr>
          <w:rFonts w:ascii="Times New Roman" w:hAnsi="Times New Roman" w:cs="Times New Roman"/>
        </w:rPr>
        <w:t xml:space="preserve"> </w:t>
      </w:r>
      <w:r w:rsidRPr="00AE0952">
        <w:rPr>
          <w:rFonts w:ascii="Times New Roman" w:hAnsi="Times New Roman" w:cs="Times New Roman"/>
        </w:rPr>
        <w:t>The quantified hydraulic gradient (0.02</w:t>
      </w:r>
      <w:r w:rsidRPr="00481947">
        <w:rPr>
          <w:rFonts w:ascii="Times New Roman" w:hAnsi="Times New Roman" w:cs="Times New Roman"/>
        </w:rPr>
        <w:t>-</w:t>
      </w:r>
      <w:r w:rsidRPr="00AE0952">
        <w:rPr>
          <w:rFonts w:ascii="Times New Roman" w:hAnsi="Times New Roman" w:cs="Times New Roman"/>
        </w:rPr>
        <w:t>0.03) reflects moderate gravitational driving force and indicates that groundwater movement is not solely topographically controlled but likely enhanced along structurally weakened zones</w:t>
      </w:r>
      <w:r>
        <w:rPr>
          <w:rFonts w:ascii="Times New Roman" w:hAnsi="Times New Roman" w:cs="Times New Roman"/>
        </w:rPr>
        <w:t>.</w:t>
      </w:r>
    </w:p>
    <w:p w14:paraId="5EC46F8D" w14:textId="2BCC183F" w:rsidR="00BC56C5" w:rsidRDefault="00BC56C5" w:rsidP="00BC56C5">
      <w:pPr>
        <w:pStyle w:val="Heading3"/>
      </w:pPr>
      <w:r w:rsidRPr="00EF51AE">
        <w:t xml:space="preserve">Recharge </w:t>
      </w:r>
      <w:r w:rsidRPr="00481947">
        <w:t xml:space="preserve">and Discharge Zones of the Study </w:t>
      </w:r>
      <w:r>
        <w:t>Area</w:t>
      </w:r>
    </w:p>
    <w:p w14:paraId="34E78A08" w14:textId="4ACDC526" w:rsidR="00BC56C5" w:rsidRDefault="00BC56C5" w:rsidP="00BC56C5">
      <w:pPr>
        <w:tabs>
          <w:tab w:val="left" w:pos="1008"/>
        </w:tabs>
        <w:rPr>
          <w:rFonts w:ascii="Times New Roman" w:hAnsi="Times New Roman" w:cs="Times New Roman"/>
        </w:rPr>
      </w:pPr>
      <w:r w:rsidRPr="00EF51AE">
        <w:rPr>
          <w:rFonts w:ascii="Times New Roman" w:hAnsi="Times New Roman" w:cs="Times New Roman"/>
        </w:rPr>
        <w:t xml:space="preserve">Recharge and discharge zones were initially inferred from potentiometric highs and lows. High hydraulic head areas around Tudun Fulani and </w:t>
      </w:r>
      <w:proofErr w:type="spellStart"/>
      <w:r w:rsidRPr="00EF51AE">
        <w:rPr>
          <w:rFonts w:ascii="Times New Roman" w:hAnsi="Times New Roman" w:cs="Times New Roman"/>
        </w:rPr>
        <w:t>Maitumbi</w:t>
      </w:r>
      <w:proofErr w:type="spellEnd"/>
      <w:r w:rsidRPr="00EF51AE">
        <w:rPr>
          <w:rFonts w:ascii="Times New Roman" w:hAnsi="Times New Roman" w:cs="Times New Roman"/>
        </w:rPr>
        <w:t xml:space="preserve"> were interpreted as recharge zones, while lower head areas near </w:t>
      </w:r>
      <w:proofErr w:type="spellStart"/>
      <w:r w:rsidRPr="00EF51AE">
        <w:rPr>
          <w:rFonts w:ascii="Times New Roman" w:hAnsi="Times New Roman" w:cs="Times New Roman"/>
        </w:rPr>
        <w:t>Kpakungu</w:t>
      </w:r>
      <w:proofErr w:type="spellEnd"/>
      <w:r w:rsidRPr="00EF51AE">
        <w:rPr>
          <w:rFonts w:ascii="Times New Roman" w:hAnsi="Times New Roman" w:cs="Times New Roman"/>
        </w:rPr>
        <w:t xml:space="preserve"> represent discharge zones</w:t>
      </w:r>
      <w:r w:rsidRPr="00481947">
        <w:rPr>
          <w:rFonts w:ascii="Times New Roman" w:hAnsi="Times New Roman" w:cs="Times New Roman"/>
        </w:rPr>
        <w:t>.</w:t>
      </w:r>
      <w:r>
        <w:rPr>
          <w:rFonts w:ascii="Times New Roman" w:hAnsi="Times New Roman" w:cs="Times New Roman"/>
        </w:rPr>
        <w:t xml:space="preserve"> </w:t>
      </w:r>
      <w:r w:rsidRPr="00EF51AE">
        <w:rPr>
          <w:rFonts w:ascii="Times New Roman" w:hAnsi="Times New Roman" w:cs="Times New Roman"/>
        </w:rPr>
        <w:t>To reduce reliance solely on contour geometry, a rainfall</w:t>
      </w:r>
      <w:r w:rsidRPr="00481947">
        <w:rPr>
          <w:rFonts w:ascii="Times New Roman" w:hAnsi="Times New Roman" w:cs="Times New Roman"/>
        </w:rPr>
        <w:t>-</w:t>
      </w:r>
      <w:r w:rsidRPr="00EF51AE">
        <w:rPr>
          <w:rFonts w:ascii="Times New Roman" w:hAnsi="Times New Roman" w:cs="Times New Roman"/>
        </w:rPr>
        <w:t xml:space="preserve">runoff water balance model was incorporated, indicating potential annual infiltration of approximately 3.9 × 10⁷ </w:t>
      </w:r>
      <w:proofErr w:type="spellStart"/>
      <w:r w:rsidRPr="00EF51AE">
        <w:rPr>
          <w:rFonts w:ascii="Times New Roman" w:hAnsi="Times New Roman" w:cs="Times New Roman"/>
        </w:rPr>
        <w:t>m³</w:t>
      </w:r>
      <w:proofErr w:type="spellEnd"/>
      <w:r w:rsidRPr="00EF51AE">
        <w:rPr>
          <w:rFonts w:ascii="Times New Roman" w:hAnsi="Times New Roman" w:cs="Times New Roman"/>
        </w:rPr>
        <w:t xml:space="preserve"> across the 81 </w:t>
      </w:r>
      <w:proofErr w:type="spellStart"/>
      <w:r w:rsidRPr="00EF51AE">
        <w:rPr>
          <w:rFonts w:ascii="Times New Roman" w:hAnsi="Times New Roman" w:cs="Times New Roman"/>
        </w:rPr>
        <w:t>km²</w:t>
      </w:r>
      <w:proofErr w:type="spellEnd"/>
      <w:r w:rsidRPr="00EF51AE">
        <w:rPr>
          <w:rFonts w:ascii="Times New Roman" w:hAnsi="Times New Roman" w:cs="Times New Roman"/>
        </w:rPr>
        <w:t xml:space="preserve"> study </w:t>
      </w:r>
      <w:r w:rsidRPr="00481947">
        <w:rPr>
          <w:rFonts w:ascii="Times New Roman" w:hAnsi="Times New Roman" w:cs="Times New Roman"/>
        </w:rPr>
        <w:t>area. This</w:t>
      </w:r>
      <w:r w:rsidRPr="00EF51AE">
        <w:rPr>
          <w:rFonts w:ascii="Times New Roman" w:hAnsi="Times New Roman" w:cs="Times New Roman"/>
        </w:rPr>
        <w:t xml:space="preserve"> represents potential infiltration rather than measured net recharge</w:t>
      </w:r>
      <w:r w:rsidRPr="00481947">
        <w:rPr>
          <w:rFonts w:ascii="Times New Roman" w:hAnsi="Times New Roman" w:cs="Times New Roman"/>
        </w:rPr>
        <w:t>.</w:t>
      </w:r>
      <w:r w:rsidRPr="00EF51AE">
        <w:rPr>
          <w:rFonts w:ascii="Times New Roman" w:hAnsi="Times New Roman" w:cs="Times New Roman"/>
        </w:rPr>
        <w:t xml:space="preserve"> </w:t>
      </w:r>
      <w:r>
        <w:rPr>
          <w:rFonts w:ascii="Times New Roman" w:hAnsi="Times New Roman" w:cs="Times New Roman"/>
        </w:rPr>
        <w:t xml:space="preserve"> </w:t>
      </w:r>
      <w:r w:rsidRPr="00EF51AE">
        <w:rPr>
          <w:rFonts w:ascii="Times New Roman" w:hAnsi="Times New Roman" w:cs="Times New Roman"/>
        </w:rPr>
        <w:t>However, recharge in basement terrains is typically episodic and strongly seasonal, occurring primarily during intense rainfall events when soil moisture deficits are exceeded</w:t>
      </w:r>
      <w:r>
        <w:rPr>
          <w:rFonts w:ascii="Times New Roman" w:hAnsi="Times New Roman" w:cs="Times New Roman"/>
        </w:rPr>
        <w:t>.</w:t>
      </w:r>
      <w:r w:rsidRPr="00481947">
        <w:rPr>
          <w:rFonts w:ascii="Times New Roman" w:hAnsi="Times New Roman" w:cs="Times New Roman"/>
        </w:rPr>
        <w:t xml:space="preserve"> </w:t>
      </w:r>
      <w:r w:rsidRPr="00481947">
        <w:rPr>
          <w:rFonts w:ascii="Times New Roman" w:hAnsi="Times New Roman" w:cs="Times New Roman"/>
        </w:rPr>
        <w:fldChar w:fldCharType="begin" w:fldLock="1"/>
      </w:r>
      <w:r w:rsidR="007D5B49">
        <w:rPr>
          <w:rFonts w:ascii="Times New Roman" w:hAnsi="Times New Roman" w:cs="Times New Roman"/>
        </w:rPr>
        <w:instrText>ADDIN CSL_CITATION {"citationItems":[{"id":"ITEM-1","itemData":{"DOI":"10.1007/s10040-021-02339-7","ISSN":"14350157","abstract":"Hard rocks or crystalline rocks (i.e., plutonic and metamorphic rocks) constitute the basement of all continents, and are particularly exposed at the surface in the large shields of Africa, India, North and South America, Australia and Europe. They were, and are still in some cases, exposed to deep weathering processes. The storativity and hydraulic conductivity of hard rocks, and thus their groundwater resources, are controlled by these weathering processes, which created weathering profiles. Hard-rock aquifers then develop mainly within the first 100 m below ground surface, within these weathering profiles. Where partially or noneroded, these weathering profiles comprise: (1) a capacitive but generally low-permeability unconsolidated layer (the saprolite), located immediately above (2) the permeable stratiform fractured layer (SFL). The development of the SFL’s fracture network is the consequence of the stress induced by the swelling of some minerals, notably biotite. To a much lesser extent, further weathering, and thus hydraulic conductivity, also develops deeper below the SFL, at the periphery of or within preexisting geological discontinuities (joints, dykes, veins, lithological contacts, etc.). The demonstration and recognition of this conceptual model have enabled understanding of the functioning of such aquifers. Moreover, this conceptual model has facilitated a comprehensive corpus of applied methodologies in hydrogeology and geology, which are described in this review paper such as water-well siting, mapping hydrogeological potentialities from local to country scale, quantitative management, hydrodynamical modeling, protection of hard-rock groundwater resources (even in thermal and mineral aquifers), computing the drainage discharge of tunnels, quarrying, etc.","author":[{"dropping-particle":"","family":"Lachassagne","given":"Patrick","non-dropping-particle":"","parse-names":false,"suffix":""},{"dropping-particle":"","family":"Dewandel","given":"Benoît","non-dropping-particle":"","parse-names":false,"suffix":""},{"dropping-particle":"","family":"Wyns","given":"Robert","non-dropping-particle":"","parse-names":false,"suffix":""}],"container-title":"Hydrogeology Journal","id":"ITEM-1","issue":"8","issued":{"date-parts":[["2021"]]},"page":"2561-2594","title":"Review: Hydrogeology of weathered crystalline/hard-rock aquifers—guidelines for the operational survey and management of their groundwater resources","type":"article-journal","volume":"29"},"uris":["http://www.mendeley.com/documents/?uuid=9ebcdbd1-511a-4060-92d6-6cd8432a65a6","http://www.mendeley.com/documents/?uuid=bb53a410-a99f-47a1-908e-9502a3a7437c"]}],"mendeley":{"formattedCitation":"(Lachassagne et al., 2021)","plainTextFormattedCitation":"(Lachassagne et al., 2021)","previouslyFormattedCitation":"(Lachassagne et al., 2021)"},"properties":{"noteIndex":0},"schema":"https://github.com/citation-style-language/schema/raw/master/csl-citation.json"}</w:instrText>
      </w:r>
      <w:r w:rsidRPr="00481947">
        <w:rPr>
          <w:rFonts w:ascii="Times New Roman" w:hAnsi="Times New Roman" w:cs="Times New Roman"/>
        </w:rPr>
        <w:fldChar w:fldCharType="separate"/>
      </w:r>
      <w:r w:rsidRPr="00481947">
        <w:rPr>
          <w:rFonts w:ascii="Times New Roman" w:hAnsi="Times New Roman" w:cs="Times New Roman"/>
          <w:noProof/>
        </w:rPr>
        <w:t>(Lachassagne et al., 2021)</w:t>
      </w:r>
      <w:r w:rsidRPr="00481947">
        <w:rPr>
          <w:rFonts w:ascii="Times New Roman" w:hAnsi="Times New Roman" w:cs="Times New Roman"/>
        </w:rPr>
        <w:fldChar w:fldCharType="end"/>
      </w:r>
      <w:r w:rsidRPr="00EF51AE">
        <w:rPr>
          <w:rFonts w:ascii="Times New Roman" w:hAnsi="Times New Roman" w:cs="Times New Roman"/>
        </w:rPr>
        <w:t>.</w:t>
      </w:r>
    </w:p>
    <w:p w14:paraId="3D758273" w14:textId="36C5554A" w:rsidR="00BC56C5" w:rsidRDefault="00BC56C5" w:rsidP="00BC56C5">
      <w:pPr>
        <w:pStyle w:val="Heading3"/>
      </w:pPr>
      <w:r w:rsidRPr="00E622CA">
        <w:t>Vulnerability and Overburden Thickness</w:t>
      </w:r>
    </w:p>
    <w:p w14:paraId="60B4579C" w14:textId="63D5B40F" w:rsidR="00BC56C5" w:rsidRPr="00BC56C5" w:rsidRDefault="00BC56C5" w:rsidP="00BC56C5">
      <w:pPr>
        <w:tabs>
          <w:tab w:val="left" w:pos="1008"/>
        </w:tabs>
        <w:rPr>
          <w:rFonts w:ascii="Times New Roman" w:hAnsi="Times New Roman" w:cs="Times New Roman"/>
        </w:rPr>
      </w:pPr>
      <w:r w:rsidRPr="00E622CA">
        <w:rPr>
          <w:rFonts w:ascii="Times New Roman" w:hAnsi="Times New Roman" w:cs="Times New Roman"/>
        </w:rPr>
        <w:t xml:space="preserve">Overburden thickness across the study area ranges between 0.5 and 1.0 m, indicating a thin vadose zone overlying fractured bedrock. Thin overburden reduces the capacity for filtration </w:t>
      </w:r>
      <w:r w:rsidRPr="00E622CA">
        <w:rPr>
          <w:rFonts w:ascii="Times New Roman" w:hAnsi="Times New Roman" w:cs="Times New Roman"/>
        </w:rPr>
        <w:lastRenderedPageBreak/>
        <w:t>and contaminant attenuation before recharge reaches the aquifer.</w:t>
      </w:r>
      <w:r>
        <w:rPr>
          <w:rFonts w:ascii="Times New Roman" w:hAnsi="Times New Roman" w:cs="Times New Roman"/>
        </w:rPr>
        <w:t xml:space="preserve"> </w:t>
      </w:r>
      <w:r w:rsidRPr="00E622CA">
        <w:rPr>
          <w:rFonts w:ascii="Times New Roman" w:hAnsi="Times New Roman" w:cs="Times New Roman"/>
        </w:rPr>
        <w:t xml:space="preserve">In basement complex terrains, vulnerability is often governed </w:t>
      </w:r>
      <w:r w:rsidRPr="00481947">
        <w:rPr>
          <w:rFonts w:ascii="Times New Roman" w:hAnsi="Times New Roman" w:cs="Times New Roman"/>
        </w:rPr>
        <w:t>by 1.</w:t>
      </w:r>
      <w:r>
        <w:rPr>
          <w:rFonts w:ascii="Times New Roman" w:hAnsi="Times New Roman" w:cs="Times New Roman"/>
        </w:rPr>
        <w:t xml:space="preserve"> </w:t>
      </w:r>
      <w:r w:rsidRPr="00E622CA">
        <w:rPr>
          <w:rFonts w:ascii="Times New Roman" w:hAnsi="Times New Roman" w:cs="Times New Roman"/>
        </w:rPr>
        <w:t>Thickness of weathered regolith</w:t>
      </w:r>
      <w:r w:rsidRPr="00481947">
        <w:rPr>
          <w:rFonts w:ascii="Times New Roman" w:hAnsi="Times New Roman" w:cs="Times New Roman"/>
        </w:rPr>
        <w:t xml:space="preserve"> 2. </w:t>
      </w:r>
      <w:r w:rsidRPr="00E622CA">
        <w:rPr>
          <w:rFonts w:ascii="Times New Roman" w:hAnsi="Times New Roman" w:cs="Times New Roman"/>
        </w:rPr>
        <w:t>Fracture connectivity</w:t>
      </w:r>
      <w:r w:rsidRPr="00481947">
        <w:rPr>
          <w:rFonts w:ascii="Times New Roman" w:hAnsi="Times New Roman" w:cs="Times New Roman"/>
        </w:rPr>
        <w:t xml:space="preserve">, 3. </w:t>
      </w:r>
      <w:r w:rsidRPr="00E622CA">
        <w:rPr>
          <w:rFonts w:ascii="Times New Roman" w:hAnsi="Times New Roman" w:cs="Times New Roman"/>
        </w:rPr>
        <w:t>Land-use intensity</w:t>
      </w:r>
      <w:r w:rsidRPr="00481947">
        <w:rPr>
          <w:rFonts w:ascii="Times New Roman" w:hAnsi="Times New Roman" w:cs="Times New Roman"/>
        </w:rPr>
        <w:t xml:space="preserve">, 4. </w:t>
      </w:r>
      <w:r w:rsidRPr="00E622CA">
        <w:rPr>
          <w:rFonts w:ascii="Times New Roman" w:hAnsi="Times New Roman" w:cs="Times New Roman"/>
        </w:rPr>
        <w:t>Depth to water table</w:t>
      </w:r>
      <w:r w:rsidR="00831E7D">
        <w:rPr>
          <w:rFonts w:ascii="Times New Roman" w:hAnsi="Times New Roman" w:cs="Times New Roman"/>
        </w:rPr>
        <w:t>.</w:t>
      </w:r>
      <w:r>
        <w:rPr>
          <w:rFonts w:ascii="Times New Roman" w:hAnsi="Times New Roman" w:cs="Times New Roman"/>
        </w:rPr>
        <w:t xml:space="preserve"> </w:t>
      </w:r>
      <w:r w:rsidRPr="00E622CA">
        <w:rPr>
          <w:rFonts w:ascii="Times New Roman" w:hAnsi="Times New Roman" w:cs="Times New Roman"/>
        </w:rPr>
        <w:t>Although no formal vulnerability index model</w:t>
      </w:r>
      <w:r w:rsidR="00831E7D">
        <w:rPr>
          <w:rFonts w:ascii="Times New Roman" w:hAnsi="Times New Roman" w:cs="Times New Roman"/>
        </w:rPr>
        <w:t>,</w:t>
      </w:r>
      <w:r w:rsidRPr="00E622CA">
        <w:rPr>
          <w:rFonts w:ascii="Times New Roman" w:hAnsi="Times New Roman" w:cs="Times New Roman"/>
        </w:rPr>
        <w:t xml:space="preserve"> </w:t>
      </w:r>
      <w:r w:rsidRPr="00481947">
        <w:rPr>
          <w:rFonts w:ascii="Times New Roman" w:hAnsi="Times New Roman" w:cs="Times New Roman"/>
        </w:rPr>
        <w:t xml:space="preserve">such as </w:t>
      </w:r>
      <w:r w:rsidRPr="00E622CA">
        <w:rPr>
          <w:rFonts w:ascii="Times New Roman" w:hAnsi="Times New Roman" w:cs="Times New Roman"/>
        </w:rPr>
        <w:t>DRASTIC</w:t>
      </w:r>
      <w:r w:rsidR="00831E7D">
        <w:rPr>
          <w:rFonts w:ascii="Times New Roman" w:hAnsi="Times New Roman" w:cs="Times New Roman"/>
        </w:rPr>
        <w:t>,</w:t>
      </w:r>
      <w:r w:rsidRPr="00E622CA">
        <w:rPr>
          <w:rFonts w:ascii="Times New Roman" w:hAnsi="Times New Roman" w:cs="Times New Roman"/>
        </w:rPr>
        <w:t xml:space="preserve"> was applied in this study, the hydrogeological indicators observed</w:t>
      </w:r>
      <w:r>
        <w:rPr>
          <w:rFonts w:ascii="Times New Roman" w:hAnsi="Times New Roman" w:cs="Times New Roman"/>
        </w:rPr>
        <w:t>,</w:t>
      </w:r>
      <w:r w:rsidRPr="00481947">
        <w:rPr>
          <w:rFonts w:ascii="Times New Roman" w:hAnsi="Times New Roman" w:cs="Times New Roman"/>
        </w:rPr>
        <w:t xml:space="preserve"> </w:t>
      </w:r>
      <w:r w:rsidRPr="00E622CA">
        <w:rPr>
          <w:rFonts w:ascii="Times New Roman" w:hAnsi="Times New Roman" w:cs="Times New Roman"/>
        </w:rPr>
        <w:t>namely shallow water table and minimal overburden thickness</w:t>
      </w:r>
      <w:r>
        <w:rPr>
          <w:rFonts w:ascii="Times New Roman" w:hAnsi="Times New Roman" w:cs="Times New Roman"/>
        </w:rPr>
        <w:t>,</w:t>
      </w:r>
      <w:r w:rsidRPr="00481947">
        <w:rPr>
          <w:rFonts w:ascii="Times New Roman" w:hAnsi="Times New Roman" w:cs="Times New Roman"/>
        </w:rPr>
        <w:t xml:space="preserve"> </w:t>
      </w:r>
      <w:r w:rsidRPr="00E622CA">
        <w:rPr>
          <w:rFonts w:ascii="Times New Roman" w:hAnsi="Times New Roman" w:cs="Times New Roman"/>
        </w:rPr>
        <w:t>suggest moderate to high vulnerability</w:t>
      </w:r>
      <w:r w:rsidR="00831E7D">
        <w:rPr>
          <w:rFonts w:ascii="Times New Roman" w:hAnsi="Times New Roman" w:cs="Times New Roman"/>
        </w:rPr>
        <w:t>.</w:t>
      </w:r>
    </w:p>
    <w:p w14:paraId="210BFFEE" w14:textId="64661D2F" w:rsidR="00BC56C5" w:rsidRDefault="00BC56C5" w:rsidP="00BC56C5">
      <w:pPr>
        <w:pStyle w:val="Heading3"/>
      </w:pPr>
      <w:r w:rsidRPr="00045B2E">
        <w:t>Comparison with Similar Basement Complex Studies</w:t>
      </w:r>
    </w:p>
    <w:p w14:paraId="37F99471" w14:textId="06E01103" w:rsidR="00BC56C5" w:rsidRDefault="00BC56C5" w:rsidP="00BC56C5">
      <w:pPr>
        <w:rPr>
          <w:rFonts w:ascii="Times New Roman" w:hAnsi="Times New Roman" w:cs="Times New Roman"/>
        </w:rPr>
      </w:pPr>
      <w:r w:rsidRPr="00020B01">
        <w:rPr>
          <w:rFonts w:ascii="Times New Roman" w:hAnsi="Times New Roman" w:cs="Times New Roman"/>
        </w:rPr>
        <w:t xml:space="preserve">Groundwater flow behavior observed in this study is consistent with other investigations within the Nigerian Basement Complex, where borehole success </w:t>
      </w:r>
      <w:r w:rsidR="00831E7D">
        <w:rPr>
          <w:rFonts w:ascii="Times New Roman" w:hAnsi="Times New Roman" w:cs="Times New Roman"/>
        </w:rPr>
        <w:t>is</w:t>
      </w:r>
      <w:r w:rsidRPr="00020B01">
        <w:rPr>
          <w:rFonts w:ascii="Times New Roman" w:hAnsi="Times New Roman" w:cs="Times New Roman"/>
        </w:rPr>
        <w:t xml:space="preserve"> strongly controlled by fracture systems</w:t>
      </w:r>
      <w:r w:rsidR="00C6754B">
        <w:rPr>
          <w:rFonts w:ascii="Times New Roman" w:hAnsi="Times New Roman" w:cs="Times New Roman"/>
        </w:rPr>
        <w:t>.</w:t>
      </w:r>
      <w:r w:rsidRPr="00020B01">
        <w:rPr>
          <w:rFonts w:ascii="Times New Roman" w:hAnsi="Times New Roman" w:cs="Times New Roman"/>
        </w:rPr>
        <w:t xml:space="preserve"> </w:t>
      </w:r>
      <w:r>
        <w:rPr>
          <w:rFonts w:ascii="Times New Roman" w:hAnsi="Times New Roman" w:cs="Times New Roman"/>
        </w:rPr>
        <w:fldChar w:fldCharType="begin" w:fldLock="1"/>
      </w:r>
      <w:r w:rsidR="007D5B49">
        <w:rPr>
          <w:rFonts w:ascii="Times New Roman" w:hAnsi="Times New Roman" w:cs="Times New Roman"/>
        </w:rPr>
        <w:instrText>ADDIN CSL_CITATION {"citationItems":[{"id":"ITEM-1","itemData":{"abstract":"The main objective of the study is to examine the challenges and risk of domestic wastewater management. The methodology adopted involves the use of questionnaire, field survey, government documents, Global Positioning System (GPS) and sampling of the wastewater for laboratory analysis. The result showed that the wastewater generated is mostly from bathing and laundry. The daily amount of wastewater generated is 36,493,920 litres (36,494m3). The physico-chemical composition of the domestic wastewater shows that pH has a range of 7.5 and 8.7, Temperature 29oC and 30.1oC, Salinity 1051mg/l and  1329mg/ l, Chloride 240mg/l and 280mg/l, Sodium 152mg/l and 178.7mg/l, Potassium 84.35mg/l and 99.34mg/l, Calcium 24.01mg/l and 48.1mg/l, Magnesium 24.4mg/l and 39.04mg/l, sulphate 10mg/l and 19mg/l, Carbonate 370.5mg/l and 525mg/l and Bicarbonate 945.75mg/l and 1462.5mg/l. Environmental implications of domestic wastewater include medium growth for pathogens like mosquito parasite. The public are exposed to these pathogens via contaminated drinking water, water bodies or eating contaminated food. Common ailments that afflict the inhabitants include malaria, typhoid and cholera. Wastewater treatment and re-use is recommended as a complement for water use and also as a disaster risk reduction strategy. The wastewater can be reused for fire protection, irrigation/fish farming and for aquifer recharge.","author":[{"dropping-particle":"","family":"Idris-Nda","given":"a.","non-dropping-particle":"","parse-names":false,"suffix":""},{"dropping-particle":"","family":"Aliyu","given":"H.K.","non-dropping-particle":"","parse-names":false,"suffix":""},{"dropping-particle":"","family":"Dalil","given":"M.","non-dropping-particle":"","parse-names":false,"suffix":""}],"container-title":" International Society for Development and Sustainability ","id":"ITEM-1","issue":"2","issued":{"date-parts":[["2013"]]},"page":"1169-1182","title":"The challenges of domestic wastewater management in Nigeria: A case study of Minna, central Nigeria","type":"article-journal","volume":"2"},"uris":["http://www.mendeley.com/documents/?uuid=ba2f7baf-af9d-4991-9111-ebf7c04c5101","http://www.mendeley.com/documents/?uuid=1b63e87a-e028-4b77-8055-90500ee85fc6"]}],"mendeley":{"formattedCitation":"(Idris-Nda et al., 2013)","plainTextFormattedCitation":"(Idris-Nda et al., 2013)","previouslyFormattedCitation":"(Idris-Nda et al., 2013)"},"properties":{"noteIndex":0},"schema":"https://github.com/citation-style-language/schema/raw/master/csl-citation.json"}</w:instrText>
      </w:r>
      <w:r>
        <w:rPr>
          <w:rFonts w:ascii="Times New Roman" w:hAnsi="Times New Roman" w:cs="Times New Roman"/>
        </w:rPr>
        <w:fldChar w:fldCharType="separate"/>
      </w:r>
      <w:r w:rsidRPr="00B95CF0">
        <w:rPr>
          <w:rFonts w:ascii="Times New Roman" w:hAnsi="Times New Roman" w:cs="Times New Roman"/>
          <w:noProof/>
        </w:rPr>
        <w:t>(Idris-Nda et al., 2013)</w:t>
      </w:r>
      <w:r>
        <w:rPr>
          <w:rFonts w:ascii="Times New Roman" w:hAnsi="Times New Roman" w:cs="Times New Roman"/>
        </w:rPr>
        <w:fldChar w:fldCharType="end"/>
      </w:r>
      <w:r w:rsidRPr="00020B01">
        <w:rPr>
          <w:rFonts w:ascii="Times New Roman" w:hAnsi="Times New Roman" w:cs="Times New Roman"/>
        </w:rPr>
        <w:t xml:space="preserve">. </w:t>
      </w:r>
      <w:r w:rsidR="00831E7D">
        <w:rPr>
          <w:rFonts w:ascii="Times New Roman" w:hAnsi="Times New Roman" w:cs="Times New Roman"/>
        </w:rPr>
        <w:t>Rates</w:t>
      </w:r>
      <w:r w:rsidRPr="00045B2E">
        <w:rPr>
          <w:rFonts w:ascii="Times New Roman" w:hAnsi="Times New Roman" w:cs="Times New Roman"/>
        </w:rPr>
        <w:t xml:space="preserve"> in central Nigeria correlate strongly with fracture orientation and connectivity. Similarly, </w:t>
      </w:r>
      <w:r w:rsidRPr="00481947">
        <w:rPr>
          <w:rFonts w:ascii="Times New Roman" w:hAnsi="Times New Roman" w:cs="Times New Roman"/>
        </w:rPr>
        <w:fldChar w:fldCharType="begin" w:fldLock="1"/>
      </w:r>
      <w:r w:rsidR="007D5B49">
        <w:rPr>
          <w:rFonts w:ascii="Times New Roman" w:hAnsi="Times New Roman" w:cs="Times New Roman"/>
        </w:rPr>
        <w:instrText>ADDIN CSL_CITATION {"citationItems":[{"id":"ITEM-1","itemData":{"DOI":"10.1088/1748-9326/9/10/104003","ISSN":"17489326","abstract":"Overuse of surface water and an increasing reliance on nonrenewable groundwater resources have been reported over various regions of the world, casting significant doubt on the sustainable water supply and food production met by irrigation. To assess the limitations of global water resources, numerous indicators have been developed, but they rarely consider nonrenewable water use. In addition, surface water over-abstraction is rarely assessed in the context of human and environmental water needs. Here, we perform a transient assessment of global water use over the historical period 1960-2010 as well as the future projections of 2011-2099, using a newly developed indicator: the blue water sustainability index (BlWSI). The BlWSI incorporates both nonrenewable groundwater use and nonsustainable water use that compromises environmental flow requirements. Our results reveal an increasing trend of water consumed from nonsustainable surface water and groundwater resources over the historical period (</w:instrText>
      </w:r>
      <w:r w:rsidR="007D5B49">
        <w:rPr>
          <w:rFonts w:ascii="Cambria Math" w:hAnsi="Cambria Math" w:cs="Cambria Math"/>
        </w:rPr>
        <w:instrText>∼</w:instrText>
      </w:r>
      <w:r w:rsidR="007D5B49">
        <w:rPr>
          <w:rFonts w:ascii="Times New Roman" w:hAnsi="Times New Roman" w:cs="Times New Roman"/>
        </w:rPr>
        <w:instrText>30%), and this increase is projected to continue further towards the end of this century (</w:instrText>
      </w:r>
      <w:r w:rsidR="007D5B49">
        <w:rPr>
          <w:rFonts w:ascii="Cambria Math" w:hAnsi="Cambria Math" w:cs="Cambria Math"/>
        </w:rPr>
        <w:instrText>∼</w:instrText>
      </w:r>
      <w:r w:rsidR="007D5B49">
        <w:rPr>
          <w:rFonts w:ascii="Times New Roman" w:hAnsi="Times New Roman" w:cs="Times New Roman"/>
        </w:rPr>
        <w:instrText>40%). The global amount of nonsustainable water consumption has been increasing especially since the late 1990s, despite a wetter climate and increasing water availability during this period. The BlWSI is the first tool suitable for consistently evaluating the renewability and degradation of surface water and groundwater resources as a result of human water over-abstraction.","author":[{"dropping-particle":"","family":"Wada","given":"Yoshihide","non-dropping-particle":"","parse-names":false,"suffix":""},{"dropping-particle":"","family":"Bierkens","given":"Marc F.P.","non-dropping-particle":"","parse-names":false,"suffix":""}],"container-title":"Environmental Research Letters","id":"ITEM-1","issue":"10","issued":{"date-parts":[["2014"]]},"title":"Sustainability of global water use: Past reconstruction and future projections","type":"article-journal","volume":"9"},"uris":["http://www.mendeley.com/documents/?uuid=c8d26264-b29d-491b-a3a3-acc37010b3de","http://www.mendeley.com/documents/?uuid=1d513a1a-f9ed-46fb-bc70-385dcea05f82"]}],"mendeley":{"formattedCitation":"(Wada &amp; Bierkens, 2014)","plainTextFormattedCitation":"(Wada &amp; Bierkens, 2014)","previouslyFormattedCitation":"(Wada &amp; Bierkens, 2014)"},"properties":{"noteIndex":0},"schema":"https://github.com/citation-style-language/schema/raw/master/csl-citation.json"}</w:instrText>
      </w:r>
      <w:r w:rsidRPr="00481947">
        <w:rPr>
          <w:rFonts w:ascii="Times New Roman" w:hAnsi="Times New Roman" w:cs="Times New Roman"/>
        </w:rPr>
        <w:fldChar w:fldCharType="separate"/>
      </w:r>
      <w:r w:rsidRPr="00481947">
        <w:rPr>
          <w:rFonts w:ascii="Times New Roman" w:hAnsi="Times New Roman" w:cs="Times New Roman"/>
          <w:noProof/>
        </w:rPr>
        <w:t>(Wada &amp; Bierkens, 2014)</w:t>
      </w:r>
      <w:r w:rsidRPr="00481947">
        <w:rPr>
          <w:rFonts w:ascii="Times New Roman" w:hAnsi="Times New Roman" w:cs="Times New Roman"/>
        </w:rPr>
        <w:fldChar w:fldCharType="end"/>
      </w:r>
      <w:r w:rsidRPr="00045B2E">
        <w:rPr>
          <w:rFonts w:ascii="Times New Roman" w:hAnsi="Times New Roman" w:cs="Times New Roman"/>
        </w:rPr>
        <w:t xml:space="preserve"> reported that hydraulic anisotropy in crystalline terrains often aligns with dominant joint sets.</w:t>
      </w:r>
      <w:r w:rsidRPr="00481947">
        <w:rPr>
          <w:rFonts w:ascii="Times New Roman" w:hAnsi="Times New Roman" w:cs="Times New Roman"/>
        </w:rPr>
        <w:t xml:space="preserve"> </w:t>
      </w:r>
      <w:r w:rsidRPr="00045B2E">
        <w:rPr>
          <w:rFonts w:ascii="Times New Roman" w:hAnsi="Times New Roman" w:cs="Times New Roman"/>
        </w:rPr>
        <w:t>The hydraulic gradient magnitude (0.02–0.03) obtained in this study falls within the range reported for shallow unconfined basement aquifers in comparable crystalline environments. This supports the reliability of the potentiometric surface interpretation.</w:t>
      </w:r>
      <w:r>
        <w:rPr>
          <w:rFonts w:ascii="Times New Roman" w:hAnsi="Times New Roman" w:cs="Times New Roman"/>
        </w:rPr>
        <w:t xml:space="preserve"> </w:t>
      </w:r>
      <w:r w:rsidRPr="00481947">
        <w:rPr>
          <w:rFonts w:ascii="Times New Roman" w:hAnsi="Times New Roman" w:cs="Times New Roman"/>
        </w:rPr>
        <w:t>I</w:t>
      </w:r>
      <w:r w:rsidRPr="00045B2E">
        <w:rPr>
          <w:rFonts w:ascii="Times New Roman" w:hAnsi="Times New Roman" w:cs="Times New Roman"/>
        </w:rPr>
        <w:t>ntegrating structural analysis, statistical treatment of well data, and hydraulic gradient quantification, the</w:t>
      </w:r>
      <w:r w:rsidRPr="00481947">
        <w:rPr>
          <w:rFonts w:ascii="Times New Roman" w:hAnsi="Times New Roman" w:cs="Times New Roman"/>
        </w:rPr>
        <w:t xml:space="preserve"> </w:t>
      </w:r>
      <w:r w:rsidRPr="00045B2E">
        <w:rPr>
          <w:rFonts w:ascii="Times New Roman" w:hAnsi="Times New Roman" w:cs="Times New Roman"/>
        </w:rPr>
        <w:t xml:space="preserve">study extends beyond descriptive mapping and provides a more quantitative framework compared to earlier localized hydrogeological </w:t>
      </w:r>
      <w:r>
        <w:rPr>
          <w:rFonts w:ascii="Times New Roman" w:hAnsi="Times New Roman" w:cs="Times New Roman"/>
        </w:rPr>
        <w:t>assessments.</w:t>
      </w:r>
    </w:p>
    <w:p w14:paraId="69F46219" w14:textId="703C97E5" w:rsidR="00BC56C5" w:rsidRDefault="00BC56C5" w:rsidP="00BC56C5">
      <w:pPr>
        <w:pStyle w:val="Heading3"/>
      </w:pPr>
      <w:r w:rsidRPr="006564B6">
        <w:t>Study Limitations</w:t>
      </w:r>
    </w:p>
    <w:p w14:paraId="2DD97E1B" w14:textId="6675EE42" w:rsidR="00BC56C5" w:rsidRDefault="00BC56C5" w:rsidP="00BC56C5">
      <w:pPr>
        <w:rPr>
          <w:rFonts w:ascii="Times New Roman" w:hAnsi="Times New Roman" w:cs="Times New Roman"/>
        </w:rPr>
      </w:pPr>
      <w:r w:rsidRPr="006564B6">
        <w:rPr>
          <w:rFonts w:ascii="Times New Roman" w:hAnsi="Times New Roman" w:cs="Times New Roman"/>
        </w:rPr>
        <w:t xml:space="preserve">This </w:t>
      </w:r>
      <w:r w:rsidRPr="00481947">
        <w:rPr>
          <w:rFonts w:ascii="Times New Roman" w:hAnsi="Times New Roman" w:cs="Times New Roman"/>
        </w:rPr>
        <w:t>study</w:t>
      </w:r>
      <w:r w:rsidRPr="006564B6">
        <w:rPr>
          <w:rFonts w:ascii="Times New Roman" w:hAnsi="Times New Roman" w:cs="Times New Roman"/>
        </w:rPr>
        <w:t xml:space="preserve"> represents a single-season assessment and therefore does not capture temporal groundwater level fluctuations associated with seasonal recharge.</w:t>
      </w:r>
      <w:r w:rsidRPr="00481947">
        <w:rPr>
          <w:rFonts w:ascii="Times New Roman" w:hAnsi="Times New Roman" w:cs="Times New Roman"/>
        </w:rPr>
        <w:t xml:space="preserve"> </w:t>
      </w:r>
      <w:r w:rsidRPr="006564B6">
        <w:rPr>
          <w:rFonts w:ascii="Times New Roman" w:hAnsi="Times New Roman" w:cs="Times New Roman"/>
        </w:rPr>
        <w:t>The absence of pumping test data limits estimation of transmissivity and hydraulic conductivity, and therefore</w:t>
      </w:r>
      <w:r>
        <w:rPr>
          <w:rFonts w:ascii="Times New Roman" w:hAnsi="Times New Roman" w:cs="Times New Roman"/>
        </w:rPr>
        <w:t>,</w:t>
      </w:r>
      <w:r w:rsidRPr="006564B6">
        <w:rPr>
          <w:rFonts w:ascii="Times New Roman" w:hAnsi="Times New Roman" w:cs="Times New Roman"/>
        </w:rPr>
        <w:t xml:space="preserve"> aquifer productivity assessment remains beyond the scope of this study.</w:t>
      </w:r>
      <w:r w:rsidRPr="00481947">
        <w:rPr>
          <w:rFonts w:ascii="Times New Roman" w:hAnsi="Times New Roman" w:cs="Times New Roman"/>
        </w:rPr>
        <w:t xml:space="preserve"> </w:t>
      </w:r>
      <w:r w:rsidRPr="006564B6">
        <w:rPr>
          <w:rFonts w:ascii="Times New Roman" w:hAnsi="Times New Roman" w:cs="Times New Roman"/>
        </w:rPr>
        <w:t xml:space="preserve">Recharge </w:t>
      </w:r>
      <w:r w:rsidRPr="00481947">
        <w:rPr>
          <w:rFonts w:ascii="Times New Roman" w:hAnsi="Times New Roman" w:cs="Times New Roman"/>
        </w:rPr>
        <w:t>modelling</w:t>
      </w:r>
      <w:r w:rsidRPr="006564B6">
        <w:rPr>
          <w:rFonts w:ascii="Times New Roman" w:hAnsi="Times New Roman" w:cs="Times New Roman"/>
        </w:rPr>
        <w:t xml:space="preserve"> was based on simplified rainfall</w:t>
      </w:r>
      <w:r w:rsidRPr="00481947">
        <w:rPr>
          <w:rFonts w:ascii="Times New Roman" w:hAnsi="Times New Roman" w:cs="Times New Roman"/>
        </w:rPr>
        <w:t>-</w:t>
      </w:r>
      <w:r w:rsidRPr="006564B6">
        <w:rPr>
          <w:rFonts w:ascii="Times New Roman" w:hAnsi="Times New Roman" w:cs="Times New Roman"/>
        </w:rPr>
        <w:t>runoff assumptions and does not account for evapotranspiration losses, soil moisture storage, or delayed percolation processes.</w:t>
      </w:r>
      <w:r w:rsidRPr="00481947">
        <w:rPr>
          <w:rFonts w:ascii="Times New Roman" w:hAnsi="Times New Roman" w:cs="Times New Roman"/>
        </w:rPr>
        <w:t xml:space="preserve"> </w:t>
      </w:r>
      <w:r w:rsidRPr="006564B6">
        <w:rPr>
          <w:rFonts w:ascii="Times New Roman" w:hAnsi="Times New Roman" w:cs="Times New Roman"/>
        </w:rPr>
        <w:t xml:space="preserve">Interpolation using Ordinary Kriging may introduce smoothing effects in areas of lower well density; however, the relatively high number of wells (n = 117) enhances </w:t>
      </w:r>
      <w:r>
        <w:rPr>
          <w:rFonts w:ascii="Times New Roman" w:hAnsi="Times New Roman" w:cs="Times New Roman"/>
        </w:rPr>
        <w:t xml:space="preserve">the </w:t>
      </w:r>
      <w:r w:rsidRPr="006564B6">
        <w:rPr>
          <w:rFonts w:ascii="Times New Roman" w:hAnsi="Times New Roman" w:cs="Times New Roman"/>
        </w:rPr>
        <w:t>reliability of the potentiometric surface.</w:t>
      </w:r>
    </w:p>
    <w:p w14:paraId="41CA0EB3" w14:textId="0051B970" w:rsidR="00452A9C" w:rsidRDefault="00452A9C" w:rsidP="00452A9C">
      <w:pPr>
        <w:pStyle w:val="Heading2"/>
      </w:pPr>
      <w:r>
        <w:t xml:space="preserve">Conclusions </w:t>
      </w:r>
    </w:p>
    <w:p w14:paraId="5F5840FB" w14:textId="77777777" w:rsidR="00BC56C5" w:rsidRPr="002C763F" w:rsidRDefault="00BC56C5" w:rsidP="00BC56C5">
      <w:pPr>
        <w:tabs>
          <w:tab w:val="left" w:pos="1008"/>
        </w:tabs>
        <w:rPr>
          <w:rFonts w:ascii="Times New Roman" w:hAnsi="Times New Roman" w:cs="Times New Roman"/>
        </w:rPr>
      </w:pPr>
      <w:r w:rsidRPr="002C763F">
        <w:rPr>
          <w:rFonts w:ascii="Times New Roman" w:hAnsi="Times New Roman" w:cs="Times New Roman"/>
        </w:rPr>
        <w:t>This study evaluated groundwater flow dynamics and structural controls within parts of Minna Sheet 164 SW, a crystalline basement terrain dominated by granitic lithology with minor schist occurrences. Hydrogeological inventory of 117 hand-dug wells enabled construction of a potentiometric surface map and quantitative assessment of groundwater flow characteristics.</w:t>
      </w:r>
    </w:p>
    <w:p w14:paraId="57C1CA81" w14:textId="77777777" w:rsidR="00BC56C5" w:rsidRPr="002C763F" w:rsidRDefault="00BC56C5" w:rsidP="00BC56C5">
      <w:pPr>
        <w:tabs>
          <w:tab w:val="left" w:pos="1008"/>
        </w:tabs>
        <w:rPr>
          <w:rFonts w:ascii="Times New Roman" w:hAnsi="Times New Roman" w:cs="Times New Roman"/>
        </w:rPr>
      </w:pPr>
      <w:r w:rsidRPr="002C763F">
        <w:rPr>
          <w:rFonts w:ascii="Times New Roman" w:hAnsi="Times New Roman" w:cs="Times New Roman"/>
        </w:rPr>
        <w:t>Static water levels ranged from 0.9</w:t>
      </w:r>
      <w:r w:rsidRPr="00481947">
        <w:rPr>
          <w:rFonts w:ascii="Times New Roman" w:hAnsi="Times New Roman" w:cs="Times New Roman"/>
        </w:rPr>
        <w:t>-</w:t>
      </w:r>
      <w:r w:rsidRPr="002C763F">
        <w:rPr>
          <w:rFonts w:ascii="Times New Roman" w:hAnsi="Times New Roman" w:cs="Times New Roman"/>
        </w:rPr>
        <w:t xml:space="preserve">10.3 m (mean = </w:t>
      </w:r>
      <w:proofErr w:type="spellStart"/>
      <w:r w:rsidRPr="002C763F">
        <w:rPr>
          <w:rFonts w:ascii="Times New Roman" w:hAnsi="Times New Roman" w:cs="Times New Roman"/>
        </w:rPr>
        <w:t>4.23m</w:t>
      </w:r>
      <w:proofErr w:type="spellEnd"/>
      <w:r w:rsidRPr="002C763F">
        <w:rPr>
          <w:rFonts w:ascii="Times New Roman" w:hAnsi="Times New Roman" w:cs="Times New Roman"/>
        </w:rPr>
        <w:t>), while well depths ranged from 1.6</w:t>
      </w:r>
      <w:r w:rsidRPr="00481947">
        <w:rPr>
          <w:rFonts w:ascii="Times New Roman" w:hAnsi="Times New Roman" w:cs="Times New Roman"/>
        </w:rPr>
        <w:t>-</w:t>
      </w:r>
      <w:r w:rsidRPr="002C763F">
        <w:rPr>
          <w:rFonts w:ascii="Times New Roman" w:hAnsi="Times New Roman" w:cs="Times New Roman"/>
        </w:rPr>
        <w:t xml:space="preserve">10.6 m (mean = </w:t>
      </w:r>
      <w:proofErr w:type="spellStart"/>
      <w:r w:rsidRPr="002C763F">
        <w:rPr>
          <w:rFonts w:ascii="Times New Roman" w:hAnsi="Times New Roman" w:cs="Times New Roman"/>
        </w:rPr>
        <w:t>5.05m</w:t>
      </w:r>
      <w:proofErr w:type="spellEnd"/>
      <w:r w:rsidRPr="002C763F">
        <w:rPr>
          <w:rFonts w:ascii="Times New Roman" w:hAnsi="Times New Roman" w:cs="Times New Roman"/>
        </w:rPr>
        <w:t>), confirming the shallow and unconfined nature of the aquifer system. Quantitative hydraulic gradient analysis yielded values between 0.02 and 0.03 along the dominant NE</w:t>
      </w:r>
      <w:r w:rsidRPr="00481947">
        <w:rPr>
          <w:rFonts w:ascii="Times New Roman" w:hAnsi="Times New Roman" w:cs="Times New Roman"/>
        </w:rPr>
        <w:t>-</w:t>
      </w:r>
      <w:r w:rsidRPr="002C763F">
        <w:rPr>
          <w:rFonts w:ascii="Times New Roman" w:hAnsi="Times New Roman" w:cs="Times New Roman"/>
        </w:rPr>
        <w:t xml:space="preserve">SW flow path, indicating moderate </w:t>
      </w:r>
      <w:r>
        <w:rPr>
          <w:rFonts w:ascii="Times New Roman" w:hAnsi="Times New Roman" w:cs="Times New Roman"/>
        </w:rPr>
        <w:t>gravity-driven</w:t>
      </w:r>
      <w:r w:rsidRPr="002C763F">
        <w:rPr>
          <w:rFonts w:ascii="Times New Roman" w:hAnsi="Times New Roman" w:cs="Times New Roman"/>
        </w:rPr>
        <w:t xml:space="preserve"> groundwater movement.</w:t>
      </w:r>
      <w:r w:rsidRPr="00481947">
        <w:rPr>
          <w:rFonts w:ascii="Times New Roman" w:hAnsi="Times New Roman" w:cs="Times New Roman"/>
        </w:rPr>
        <w:t xml:space="preserve"> </w:t>
      </w:r>
      <w:r w:rsidRPr="002C763F">
        <w:rPr>
          <w:rFonts w:ascii="Times New Roman" w:hAnsi="Times New Roman" w:cs="Times New Roman"/>
        </w:rPr>
        <w:t>Groundwater flow direction aligns broadly with the dominant NNE</w:t>
      </w:r>
      <w:r w:rsidRPr="00481947">
        <w:rPr>
          <w:rFonts w:ascii="Times New Roman" w:hAnsi="Times New Roman" w:cs="Times New Roman"/>
        </w:rPr>
        <w:t>-</w:t>
      </w:r>
      <w:r w:rsidRPr="002C763F">
        <w:rPr>
          <w:rFonts w:ascii="Times New Roman" w:hAnsi="Times New Roman" w:cs="Times New Roman"/>
        </w:rPr>
        <w:t>SSW joint orientation observed in the structural analysis. This structural</w:t>
      </w:r>
      <w:r w:rsidRPr="00481947">
        <w:rPr>
          <w:rFonts w:ascii="Times New Roman" w:hAnsi="Times New Roman" w:cs="Times New Roman"/>
        </w:rPr>
        <w:t xml:space="preserve"> </w:t>
      </w:r>
      <w:r w:rsidRPr="002C763F">
        <w:rPr>
          <w:rFonts w:ascii="Times New Roman" w:hAnsi="Times New Roman" w:cs="Times New Roman"/>
        </w:rPr>
        <w:t>hydraulic correspondence supports the interpretation that fracture-controlled anisotropy significantly influences groundwater movement within the weathered</w:t>
      </w:r>
      <w:r w:rsidRPr="00481947">
        <w:rPr>
          <w:rFonts w:ascii="Times New Roman" w:hAnsi="Times New Roman" w:cs="Times New Roman"/>
        </w:rPr>
        <w:t>-</w:t>
      </w:r>
      <w:r w:rsidRPr="002C763F">
        <w:rPr>
          <w:rFonts w:ascii="Times New Roman" w:hAnsi="Times New Roman" w:cs="Times New Roman"/>
        </w:rPr>
        <w:t>fractured basement</w:t>
      </w:r>
      <w:r w:rsidRPr="00481947">
        <w:rPr>
          <w:rFonts w:ascii="Times New Roman" w:hAnsi="Times New Roman" w:cs="Times New Roman"/>
        </w:rPr>
        <w:t>.</w:t>
      </w:r>
    </w:p>
    <w:p w14:paraId="4082913A" w14:textId="77777777" w:rsidR="00BC56C5" w:rsidRPr="002C763F" w:rsidRDefault="00BC56C5" w:rsidP="00BC56C5">
      <w:pPr>
        <w:tabs>
          <w:tab w:val="left" w:pos="1008"/>
        </w:tabs>
        <w:rPr>
          <w:rFonts w:ascii="Times New Roman" w:hAnsi="Times New Roman" w:cs="Times New Roman"/>
        </w:rPr>
      </w:pPr>
      <w:r w:rsidRPr="002C763F">
        <w:rPr>
          <w:rFonts w:ascii="Times New Roman" w:hAnsi="Times New Roman" w:cs="Times New Roman"/>
        </w:rPr>
        <w:lastRenderedPageBreak/>
        <w:t xml:space="preserve">Recharge zones were identified at hydraulic highs around Tudun Fulani and </w:t>
      </w:r>
      <w:proofErr w:type="spellStart"/>
      <w:r w:rsidRPr="002C763F">
        <w:rPr>
          <w:rFonts w:ascii="Times New Roman" w:hAnsi="Times New Roman" w:cs="Times New Roman"/>
        </w:rPr>
        <w:t>Maitumbi</w:t>
      </w:r>
      <w:proofErr w:type="spellEnd"/>
      <w:r w:rsidRPr="002C763F">
        <w:rPr>
          <w:rFonts w:ascii="Times New Roman" w:hAnsi="Times New Roman" w:cs="Times New Roman"/>
        </w:rPr>
        <w:t xml:space="preserve">, while discharge zones occur near </w:t>
      </w:r>
      <w:proofErr w:type="spellStart"/>
      <w:r w:rsidRPr="002C763F">
        <w:rPr>
          <w:rFonts w:ascii="Times New Roman" w:hAnsi="Times New Roman" w:cs="Times New Roman"/>
        </w:rPr>
        <w:t>Kpakungu</w:t>
      </w:r>
      <w:proofErr w:type="spellEnd"/>
      <w:r w:rsidRPr="002C763F">
        <w:rPr>
          <w:rFonts w:ascii="Times New Roman" w:hAnsi="Times New Roman" w:cs="Times New Roman"/>
        </w:rPr>
        <w:t>. Although recharge interpretation was supported by first-order rainfall</w:t>
      </w:r>
      <w:r w:rsidRPr="00481947">
        <w:rPr>
          <w:rFonts w:ascii="Times New Roman" w:hAnsi="Times New Roman" w:cs="Times New Roman"/>
        </w:rPr>
        <w:t>-</w:t>
      </w:r>
      <w:r w:rsidRPr="002C763F">
        <w:rPr>
          <w:rFonts w:ascii="Times New Roman" w:hAnsi="Times New Roman" w:cs="Times New Roman"/>
        </w:rPr>
        <w:t xml:space="preserve">runoff </w:t>
      </w:r>
      <w:r w:rsidRPr="00481947">
        <w:rPr>
          <w:rFonts w:ascii="Times New Roman" w:hAnsi="Times New Roman" w:cs="Times New Roman"/>
        </w:rPr>
        <w:t>modelling</w:t>
      </w:r>
      <w:r w:rsidRPr="002C763F">
        <w:rPr>
          <w:rFonts w:ascii="Times New Roman" w:hAnsi="Times New Roman" w:cs="Times New Roman"/>
        </w:rPr>
        <w:t>, it remains conceptual and requires seasonal monitoring for quantitative validation.</w:t>
      </w:r>
      <w:r w:rsidRPr="00481947">
        <w:rPr>
          <w:rFonts w:ascii="Times New Roman" w:hAnsi="Times New Roman" w:cs="Times New Roman"/>
        </w:rPr>
        <w:t xml:space="preserve"> </w:t>
      </w:r>
      <w:r w:rsidRPr="002C763F">
        <w:rPr>
          <w:rFonts w:ascii="Times New Roman" w:hAnsi="Times New Roman" w:cs="Times New Roman"/>
        </w:rPr>
        <w:t>Overburden thickness across the study area ranges from 0.5</w:t>
      </w:r>
      <w:r>
        <w:rPr>
          <w:rFonts w:ascii="Times New Roman" w:hAnsi="Times New Roman" w:cs="Times New Roman"/>
        </w:rPr>
        <w:t xml:space="preserve"> to </w:t>
      </w:r>
      <w:r w:rsidRPr="002C763F">
        <w:rPr>
          <w:rFonts w:ascii="Times New Roman" w:hAnsi="Times New Roman" w:cs="Times New Roman"/>
        </w:rPr>
        <w:t>1.0 m, indicating limited vadose zone thickness. While this thin overburden suggests moderate to high vulnerability to surface-derived contamination, no formal vulnerability index model was applied.</w:t>
      </w:r>
    </w:p>
    <w:p w14:paraId="14A4EFA8" w14:textId="6C0A3A28" w:rsidR="00AA2FF4" w:rsidRDefault="00BC56C5" w:rsidP="00BC56C5">
      <w:r w:rsidRPr="002C763F">
        <w:rPr>
          <w:rFonts w:ascii="Times New Roman" w:hAnsi="Times New Roman" w:cs="Times New Roman"/>
        </w:rPr>
        <w:t>Overall, the integration of structural mapping, statistical treatment of well data, hydraulic gradient quantification, and recharge context provides a more rigorous hydrogeological framework for groundwater assessment in basement complex terrains. The findings highlight the importance of incorporating structural analysis and quantitative groundwater mapping into sustainable groundwater development planning in rapidly urbanizing crystalline environments</w:t>
      </w:r>
      <w:r w:rsidR="00AA2FF4">
        <w:t>.</w:t>
      </w:r>
    </w:p>
    <w:p w14:paraId="30B5E477" w14:textId="70581218" w:rsidR="00947093" w:rsidRPr="00C53357" w:rsidRDefault="004D11FD" w:rsidP="000D3D3D">
      <w:pPr>
        <w:pStyle w:val="Heading2"/>
        <w:numPr>
          <w:ilvl w:val="0"/>
          <w:numId w:val="0"/>
        </w:numPr>
      </w:pPr>
      <w:r w:rsidRPr="004D11FD">
        <w:t xml:space="preserve">Conflict of </w:t>
      </w:r>
      <w:r w:rsidR="008F4B5B">
        <w:t>I</w:t>
      </w:r>
      <w:r w:rsidRPr="004D11FD">
        <w:t>nterest</w:t>
      </w:r>
    </w:p>
    <w:p w14:paraId="1CDB5EE2" w14:textId="4A2CD225" w:rsidR="005727A2" w:rsidRDefault="000564AF" w:rsidP="005727A2">
      <w:r w:rsidRPr="003E5825">
        <w:rPr>
          <w:rFonts w:ascii="Times New Roman" w:hAnsi="Times New Roman" w:cs="Times New Roman"/>
        </w:rPr>
        <w:t>The authors declare no competing financial or personal interests that could influence the outcomes of this study</w:t>
      </w:r>
      <w:r w:rsidR="005727A2">
        <w:t>.</w:t>
      </w:r>
    </w:p>
    <w:p w14:paraId="278F787F" w14:textId="25E78D51" w:rsidR="00947093" w:rsidRDefault="00F1468E" w:rsidP="000D3D3D">
      <w:pPr>
        <w:pStyle w:val="Heading2"/>
        <w:numPr>
          <w:ilvl w:val="0"/>
          <w:numId w:val="0"/>
        </w:numPr>
      </w:pPr>
      <w:r w:rsidRPr="00F1468E">
        <w:t xml:space="preserve">Author </w:t>
      </w:r>
      <w:r w:rsidR="008F4B5B">
        <w:t>C</w:t>
      </w:r>
      <w:r w:rsidRPr="00F1468E">
        <w:t>ontributions</w:t>
      </w:r>
    </w:p>
    <w:p w14:paraId="77EC9AC0" w14:textId="77777777" w:rsidR="000564AF" w:rsidRPr="000564AF" w:rsidRDefault="000564AF" w:rsidP="000564AF">
      <w:pPr>
        <w:tabs>
          <w:tab w:val="left" w:pos="1008"/>
        </w:tabs>
        <w:spacing w:after="0"/>
        <w:rPr>
          <w:rFonts w:ascii="Times New Roman" w:hAnsi="Times New Roman" w:cs="Times New Roman"/>
          <w:bCs/>
        </w:rPr>
      </w:pPr>
      <w:r w:rsidRPr="000D139B">
        <w:rPr>
          <w:rFonts w:ascii="Times New Roman" w:hAnsi="Times New Roman" w:cs="Times New Roman"/>
          <w:b/>
        </w:rPr>
        <w:t>Umar Sulaiman:</w:t>
      </w:r>
      <w:r w:rsidRPr="000564AF">
        <w:rPr>
          <w:rFonts w:ascii="Times New Roman" w:hAnsi="Times New Roman" w:cs="Times New Roman"/>
          <w:bCs/>
        </w:rPr>
        <w:t xml:space="preserve"> Investigation and writing of original draft</w:t>
      </w:r>
    </w:p>
    <w:p w14:paraId="4AF9C105" w14:textId="77777777" w:rsidR="000564AF" w:rsidRPr="000564AF" w:rsidRDefault="000564AF" w:rsidP="000564AF">
      <w:pPr>
        <w:tabs>
          <w:tab w:val="left" w:pos="1008"/>
        </w:tabs>
        <w:spacing w:after="0"/>
        <w:rPr>
          <w:rFonts w:ascii="Times New Roman" w:hAnsi="Times New Roman" w:cs="Times New Roman"/>
          <w:bCs/>
        </w:rPr>
      </w:pPr>
      <w:r w:rsidRPr="000D139B">
        <w:rPr>
          <w:rFonts w:ascii="Times New Roman" w:hAnsi="Times New Roman" w:cs="Times New Roman"/>
          <w:b/>
        </w:rPr>
        <w:t>Abdullahi Idris-</w:t>
      </w:r>
      <w:proofErr w:type="spellStart"/>
      <w:r w:rsidRPr="000D139B">
        <w:rPr>
          <w:rFonts w:ascii="Times New Roman" w:hAnsi="Times New Roman" w:cs="Times New Roman"/>
          <w:b/>
        </w:rPr>
        <w:t>Nda</w:t>
      </w:r>
      <w:proofErr w:type="spellEnd"/>
      <w:r w:rsidRPr="000D139B">
        <w:rPr>
          <w:rFonts w:ascii="Times New Roman" w:hAnsi="Times New Roman" w:cs="Times New Roman"/>
          <w:b/>
        </w:rPr>
        <w:t>:</w:t>
      </w:r>
      <w:r w:rsidRPr="000564AF">
        <w:rPr>
          <w:rFonts w:ascii="Times New Roman" w:hAnsi="Times New Roman" w:cs="Times New Roman"/>
          <w:bCs/>
        </w:rPr>
        <w:t xml:space="preserve"> Supervision of data acquisition and analysis</w:t>
      </w:r>
    </w:p>
    <w:p w14:paraId="6A6EADA9" w14:textId="77777777" w:rsidR="000564AF" w:rsidRPr="000564AF" w:rsidRDefault="000564AF" w:rsidP="000564AF">
      <w:pPr>
        <w:tabs>
          <w:tab w:val="left" w:pos="1008"/>
        </w:tabs>
        <w:spacing w:after="0"/>
        <w:rPr>
          <w:rFonts w:ascii="Times New Roman" w:hAnsi="Times New Roman" w:cs="Times New Roman"/>
          <w:bCs/>
        </w:rPr>
      </w:pPr>
      <w:r w:rsidRPr="000D139B">
        <w:rPr>
          <w:rFonts w:ascii="Times New Roman" w:hAnsi="Times New Roman" w:cs="Times New Roman"/>
          <w:b/>
        </w:rPr>
        <w:t>Musa Suleiman Tenimu:</w:t>
      </w:r>
      <w:r w:rsidRPr="000564AF">
        <w:rPr>
          <w:rFonts w:ascii="Times New Roman" w:hAnsi="Times New Roman" w:cs="Times New Roman"/>
          <w:bCs/>
        </w:rPr>
        <w:t xml:space="preserve"> Data curation, editing, and formatting of draft</w:t>
      </w:r>
    </w:p>
    <w:p w14:paraId="33092C39" w14:textId="77777777" w:rsidR="000564AF" w:rsidRPr="000564AF" w:rsidRDefault="000564AF" w:rsidP="000564AF">
      <w:pPr>
        <w:tabs>
          <w:tab w:val="left" w:pos="1008"/>
        </w:tabs>
        <w:spacing w:after="0"/>
        <w:rPr>
          <w:rFonts w:ascii="Times New Roman" w:hAnsi="Times New Roman" w:cs="Times New Roman"/>
          <w:bCs/>
        </w:rPr>
      </w:pPr>
      <w:r w:rsidRPr="000D139B">
        <w:rPr>
          <w:rFonts w:ascii="Times New Roman" w:hAnsi="Times New Roman" w:cs="Times New Roman"/>
          <w:b/>
        </w:rPr>
        <w:t>Abubakar Abduljaleel Enesi:</w:t>
      </w:r>
      <w:r w:rsidRPr="000564AF">
        <w:rPr>
          <w:rFonts w:ascii="Times New Roman" w:hAnsi="Times New Roman" w:cs="Times New Roman"/>
          <w:bCs/>
        </w:rPr>
        <w:t xml:space="preserve"> Fieldwork assistant</w:t>
      </w:r>
    </w:p>
    <w:p w14:paraId="3F252EFF" w14:textId="01F25BE8" w:rsidR="005727A2" w:rsidRPr="000564AF" w:rsidRDefault="000564AF" w:rsidP="000564AF">
      <w:pPr>
        <w:rPr>
          <w:bCs/>
        </w:rPr>
      </w:pPr>
      <w:r w:rsidRPr="000D139B">
        <w:rPr>
          <w:rFonts w:ascii="Times New Roman" w:hAnsi="Times New Roman" w:cs="Times New Roman"/>
          <w:b/>
        </w:rPr>
        <w:t>Folorunsho Owolabi Wahab:</w:t>
      </w:r>
      <w:r w:rsidRPr="000564AF">
        <w:rPr>
          <w:rFonts w:ascii="Times New Roman" w:hAnsi="Times New Roman" w:cs="Times New Roman"/>
          <w:bCs/>
        </w:rPr>
        <w:t xml:space="preserve"> Review of manuscript</w:t>
      </w:r>
      <w:r w:rsidR="005727A2" w:rsidRPr="000564AF">
        <w:rPr>
          <w:bCs/>
        </w:rPr>
        <w:t>.</w:t>
      </w:r>
    </w:p>
    <w:p w14:paraId="67173924" w14:textId="77777777" w:rsidR="00947093" w:rsidRPr="00C53357" w:rsidRDefault="00790F2D" w:rsidP="000D3D3D">
      <w:pPr>
        <w:pStyle w:val="Heading2"/>
        <w:numPr>
          <w:ilvl w:val="0"/>
          <w:numId w:val="0"/>
        </w:numPr>
      </w:pPr>
      <w:r w:rsidRPr="00790F2D">
        <w:t>Funding</w:t>
      </w:r>
    </w:p>
    <w:p w14:paraId="4337D015" w14:textId="5DCC2E17" w:rsidR="005727A2" w:rsidRPr="005727A2" w:rsidRDefault="000564AF" w:rsidP="005727A2">
      <w:r w:rsidRPr="003E5825">
        <w:rPr>
          <w:rFonts w:ascii="Times New Roman" w:hAnsi="Times New Roman" w:cs="Times New Roman"/>
        </w:rPr>
        <w:t>This research received no funding</w:t>
      </w:r>
      <w:r w:rsidR="005727A2">
        <w:t>.</w:t>
      </w:r>
    </w:p>
    <w:p w14:paraId="4566383F" w14:textId="77777777" w:rsidR="00947093" w:rsidRPr="00C53357" w:rsidRDefault="00CC0888" w:rsidP="000D3D3D">
      <w:pPr>
        <w:pStyle w:val="Heading2"/>
        <w:numPr>
          <w:ilvl w:val="0"/>
          <w:numId w:val="0"/>
        </w:numPr>
      </w:pPr>
      <w:r w:rsidRPr="00CC0888">
        <w:t>Acknowledgments</w:t>
      </w:r>
    </w:p>
    <w:p w14:paraId="08EAC7D9" w14:textId="1E9A4846" w:rsidR="005727A2" w:rsidRDefault="000564AF" w:rsidP="005727A2">
      <w:r w:rsidRPr="003E5825">
        <w:rPr>
          <w:rFonts w:ascii="Times New Roman" w:hAnsi="Times New Roman" w:cs="Times New Roman"/>
        </w:rPr>
        <w:t xml:space="preserve">Special acknowledgement goes to the staff of </w:t>
      </w:r>
      <w:r>
        <w:rPr>
          <w:rFonts w:ascii="Times New Roman" w:hAnsi="Times New Roman" w:cs="Times New Roman"/>
        </w:rPr>
        <w:t xml:space="preserve">the </w:t>
      </w:r>
      <w:r w:rsidRPr="003E5825">
        <w:rPr>
          <w:rFonts w:ascii="Times New Roman" w:hAnsi="Times New Roman" w:cs="Times New Roman"/>
        </w:rPr>
        <w:t>Geology Department, Federal University of Technology</w:t>
      </w:r>
      <w:r>
        <w:rPr>
          <w:rFonts w:ascii="Times New Roman" w:hAnsi="Times New Roman" w:cs="Times New Roman"/>
        </w:rPr>
        <w:t>,</w:t>
      </w:r>
      <w:r w:rsidRPr="003E5825">
        <w:rPr>
          <w:rFonts w:ascii="Times New Roman" w:hAnsi="Times New Roman" w:cs="Times New Roman"/>
        </w:rPr>
        <w:t xml:space="preserve"> Minna</w:t>
      </w:r>
      <w:r>
        <w:rPr>
          <w:rFonts w:ascii="Times New Roman" w:hAnsi="Times New Roman" w:cs="Times New Roman"/>
        </w:rPr>
        <w:t>,</w:t>
      </w:r>
      <w:r w:rsidRPr="003E5825">
        <w:rPr>
          <w:rFonts w:ascii="Times New Roman" w:hAnsi="Times New Roman" w:cs="Times New Roman"/>
        </w:rPr>
        <w:t xml:space="preserve"> for their intellectual contributions and constructive criticism during the presentation of this work in different seminars and conferences within the institution</w:t>
      </w:r>
      <w:r w:rsidR="005727A2">
        <w:t>.</w:t>
      </w:r>
    </w:p>
    <w:p w14:paraId="45A0E391" w14:textId="32E30581" w:rsidR="001E5751" w:rsidRPr="00C53357" w:rsidRDefault="001E5751" w:rsidP="000D3D3D">
      <w:pPr>
        <w:pStyle w:val="Heading2"/>
        <w:numPr>
          <w:ilvl w:val="0"/>
          <w:numId w:val="0"/>
        </w:numPr>
      </w:pPr>
      <w:r w:rsidRPr="001E5751">
        <w:t>Ethical Statements</w:t>
      </w:r>
    </w:p>
    <w:p w14:paraId="0B40BD9F" w14:textId="14C3F8DB" w:rsidR="005727A2" w:rsidRPr="005727A2" w:rsidRDefault="0098504B" w:rsidP="005727A2">
      <w:r w:rsidRPr="003E5825">
        <w:rPr>
          <w:rFonts w:ascii="Times New Roman" w:hAnsi="Times New Roman" w:cs="Times New Roman"/>
        </w:rPr>
        <w:t xml:space="preserve">This study involved the collection of non-invasive data through field observations and </w:t>
      </w:r>
      <w:r>
        <w:rPr>
          <w:rFonts w:ascii="Times New Roman" w:hAnsi="Times New Roman" w:cs="Times New Roman"/>
        </w:rPr>
        <w:t xml:space="preserve">the </w:t>
      </w:r>
      <w:r w:rsidRPr="003E5825">
        <w:rPr>
          <w:rFonts w:ascii="Times New Roman" w:hAnsi="Times New Roman" w:cs="Times New Roman"/>
        </w:rPr>
        <w:t>taking of well inventory</w:t>
      </w:r>
      <w:r w:rsidR="005727A2">
        <w:t>.</w:t>
      </w:r>
    </w:p>
    <w:p w14:paraId="7F1F47F6" w14:textId="73AECBE7" w:rsidR="00947093" w:rsidRPr="00C53357" w:rsidRDefault="009B431E" w:rsidP="000D3D3D">
      <w:pPr>
        <w:pStyle w:val="Heading2"/>
        <w:numPr>
          <w:ilvl w:val="0"/>
          <w:numId w:val="0"/>
        </w:numPr>
      </w:pPr>
      <w:proofErr w:type="gramStart"/>
      <w:r>
        <w:t xml:space="preserve">Data </w:t>
      </w:r>
      <w:r w:rsidRPr="009B431E">
        <w:t xml:space="preserve"> </w:t>
      </w:r>
      <w:r w:rsidR="005821A7">
        <w:t>A</w:t>
      </w:r>
      <w:r w:rsidRPr="009B431E">
        <w:t>vailability</w:t>
      </w:r>
      <w:proofErr w:type="gramEnd"/>
    </w:p>
    <w:p w14:paraId="5A0478CA" w14:textId="38171693" w:rsidR="005727A2" w:rsidRPr="005727A2" w:rsidRDefault="0098504B" w:rsidP="005727A2">
      <w:r w:rsidRPr="003E5825">
        <w:rPr>
          <w:rFonts w:ascii="Times New Roman" w:hAnsi="Times New Roman" w:cs="Times New Roman"/>
        </w:rPr>
        <w:t>Data supporting the findings of this study are available from the corresponding author upon reasonable request</w:t>
      </w:r>
      <w:r w:rsidR="005727A2">
        <w:t>.</w:t>
      </w:r>
    </w:p>
    <w:p w14:paraId="66074FF4" w14:textId="77777777" w:rsidR="00947093" w:rsidRPr="00C53357" w:rsidRDefault="00947093" w:rsidP="000D3D3D">
      <w:pPr>
        <w:pStyle w:val="Heading2"/>
        <w:numPr>
          <w:ilvl w:val="0"/>
          <w:numId w:val="0"/>
        </w:numPr>
      </w:pPr>
      <w:r>
        <w:lastRenderedPageBreak/>
        <w:t>References</w:t>
      </w:r>
    </w:p>
    <w:p w14:paraId="60EEA4D5" w14:textId="25CF8CBE" w:rsidR="004007B6" w:rsidRPr="004007B6" w:rsidRDefault="00BA218E" w:rsidP="004007B6">
      <w:pPr>
        <w:widowControl w:val="0"/>
        <w:autoSpaceDE w:val="0"/>
        <w:autoSpaceDN w:val="0"/>
        <w:adjustRightInd w:val="0"/>
        <w:spacing w:line="240" w:lineRule="auto"/>
        <w:ind w:left="480" w:hanging="480"/>
        <w:rPr>
          <w:rFonts w:ascii="Times New Roman" w:hAnsi="Times New Roman" w:cs="Times New Roman"/>
          <w:noProof/>
        </w:rPr>
      </w:pPr>
      <w:r>
        <w:rPr>
          <w:rFonts w:ascii="Times New Roman" w:hAnsi="Times New Roman" w:cs="Times New Roman"/>
          <w:b/>
          <w:bCs/>
        </w:rPr>
        <w:fldChar w:fldCharType="begin" w:fldLock="1"/>
      </w:r>
      <w:r>
        <w:rPr>
          <w:rFonts w:ascii="Times New Roman" w:hAnsi="Times New Roman" w:cs="Times New Roman"/>
          <w:b/>
          <w:bCs/>
        </w:rPr>
        <w:instrText xml:space="preserve">ADDIN Mendeley Bibliography CSL_BIBLIOGRAPHY </w:instrText>
      </w:r>
      <w:r>
        <w:rPr>
          <w:rFonts w:ascii="Times New Roman" w:hAnsi="Times New Roman" w:cs="Times New Roman"/>
          <w:b/>
          <w:bCs/>
        </w:rPr>
        <w:fldChar w:fldCharType="separate"/>
      </w:r>
      <w:r w:rsidR="004007B6" w:rsidRPr="004007B6">
        <w:rPr>
          <w:rFonts w:ascii="Times New Roman" w:hAnsi="Times New Roman" w:cs="Times New Roman"/>
          <w:noProof/>
        </w:rPr>
        <w:t xml:space="preserve">Ajayi, O. (2006). Strategy for effective administration of water resources development in Nigeria. </w:t>
      </w:r>
      <w:r w:rsidR="004007B6" w:rsidRPr="004007B6">
        <w:rPr>
          <w:rFonts w:ascii="Times New Roman" w:hAnsi="Times New Roman" w:cs="Times New Roman"/>
          <w:i/>
          <w:iCs/>
          <w:noProof/>
        </w:rPr>
        <w:t>Journal of Mining and Geology</w:t>
      </w:r>
      <w:r w:rsidR="004007B6" w:rsidRPr="004007B6">
        <w:rPr>
          <w:rFonts w:ascii="Times New Roman" w:hAnsi="Times New Roman" w:cs="Times New Roman"/>
          <w:noProof/>
        </w:rPr>
        <w:t xml:space="preserve">, </w:t>
      </w:r>
      <w:r w:rsidR="004007B6" w:rsidRPr="004007B6">
        <w:rPr>
          <w:rFonts w:ascii="Times New Roman" w:hAnsi="Times New Roman" w:cs="Times New Roman"/>
          <w:i/>
          <w:iCs/>
          <w:noProof/>
        </w:rPr>
        <w:t>42</w:t>
      </w:r>
      <w:r w:rsidR="004007B6" w:rsidRPr="004007B6">
        <w:rPr>
          <w:rFonts w:ascii="Times New Roman" w:hAnsi="Times New Roman" w:cs="Times New Roman"/>
          <w:noProof/>
        </w:rPr>
        <w:t>(1), 41–50. https://doi.org/10.4314/jmg.v42i1.18843</w:t>
      </w:r>
    </w:p>
    <w:p w14:paraId="3E3677A4"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Bierkens, M. F. P., &amp; Wada, Y. (2019). Non-renewable groundwater use and groundwater depletion: A review. </w:t>
      </w:r>
      <w:r w:rsidRPr="004007B6">
        <w:rPr>
          <w:rFonts w:ascii="Times New Roman" w:hAnsi="Times New Roman" w:cs="Times New Roman"/>
          <w:i/>
          <w:iCs/>
          <w:noProof/>
        </w:rPr>
        <w:t>Environmental Research Letters</w:t>
      </w:r>
      <w:r w:rsidRPr="004007B6">
        <w:rPr>
          <w:rFonts w:ascii="Times New Roman" w:hAnsi="Times New Roman" w:cs="Times New Roman"/>
          <w:noProof/>
        </w:rPr>
        <w:t xml:space="preserve">, </w:t>
      </w:r>
      <w:r w:rsidRPr="004007B6">
        <w:rPr>
          <w:rFonts w:ascii="Times New Roman" w:hAnsi="Times New Roman" w:cs="Times New Roman"/>
          <w:i/>
          <w:iCs/>
          <w:noProof/>
        </w:rPr>
        <w:t>14</w:t>
      </w:r>
      <w:r w:rsidRPr="004007B6">
        <w:rPr>
          <w:rFonts w:ascii="Times New Roman" w:hAnsi="Times New Roman" w:cs="Times New Roman"/>
          <w:noProof/>
        </w:rPr>
        <w:t>(6). https://doi.org/10.1088/1748-9326/ab1a5f</w:t>
      </w:r>
    </w:p>
    <w:p w14:paraId="4A989682"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De Vargas, T., Boff, F. E., Belladona, R., Faccioni, L. F., Reginato, P. A. R., &amp; Carlos, F. S. (2022). Influence of geological discontinuities on the groundwater flow of the Serra Geral Fractured Aquifer System. </w:t>
      </w:r>
      <w:r w:rsidRPr="004007B6">
        <w:rPr>
          <w:rFonts w:ascii="Times New Roman" w:hAnsi="Times New Roman" w:cs="Times New Roman"/>
          <w:i/>
          <w:iCs/>
          <w:noProof/>
        </w:rPr>
        <w:t>Groundwater for Sustainable Development</w:t>
      </w:r>
      <w:r w:rsidRPr="004007B6">
        <w:rPr>
          <w:rFonts w:ascii="Times New Roman" w:hAnsi="Times New Roman" w:cs="Times New Roman"/>
          <w:noProof/>
        </w:rPr>
        <w:t xml:space="preserve">, </w:t>
      </w:r>
      <w:r w:rsidRPr="004007B6">
        <w:rPr>
          <w:rFonts w:ascii="Times New Roman" w:hAnsi="Times New Roman" w:cs="Times New Roman"/>
          <w:i/>
          <w:iCs/>
          <w:noProof/>
        </w:rPr>
        <w:t>18</w:t>
      </w:r>
      <w:r w:rsidRPr="004007B6">
        <w:rPr>
          <w:rFonts w:ascii="Times New Roman" w:hAnsi="Times New Roman" w:cs="Times New Roman"/>
          <w:noProof/>
        </w:rPr>
        <w:t>. https://doi.org/10.1016/j.gsd.2022.100780</w:t>
      </w:r>
    </w:p>
    <w:p w14:paraId="5AD2E173"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Doro, K. O., Olabode, P. I., Adeniran, M. A., &amp; Oladunjoye, M. A. (2025). Understanding Complex Hydraulic Heterogeneities in Crystalline Basement Aquifers Used as Drinking Water Sources. </w:t>
      </w:r>
      <w:r w:rsidRPr="004007B6">
        <w:rPr>
          <w:rFonts w:ascii="Times New Roman" w:hAnsi="Times New Roman" w:cs="Times New Roman"/>
          <w:i/>
          <w:iCs/>
          <w:noProof/>
        </w:rPr>
        <w:t>Geosciences (Switzerland)</w:t>
      </w:r>
      <w:r w:rsidRPr="004007B6">
        <w:rPr>
          <w:rFonts w:ascii="Times New Roman" w:hAnsi="Times New Roman" w:cs="Times New Roman"/>
          <w:noProof/>
        </w:rPr>
        <w:t xml:space="preserve">, </w:t>
      </w:r>
      <w:r w:rsidRPr="004007B6">
        <w:rPr>
          <w:rFonts w:ascii="Times New Roman" w:hAnsi="Times New Roman" w:cs="Times New Roman"/>
          <w:i/>
          <w:iCs/>
          <w:noProof/>
        </w:rPr>
        <w:t>15</w:t>
      </w:r>
      <w:r w:rsidRPr="004007B6">
        <w:rPr>
          <w:rFonts w:ascii="Times New Roman" w:hAnsi="Times New Roman" w:cs="Times New Roman"/>
          <w:noProof/>
        </w:rPr>
        <w:t>(7). https://doi.org/10.3390/geosciences15070239</w:t>
      </w:r>
    </w:p>
    <w:p w14:paraId="671FEC04"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Idris-Nda,  a., Aliyu, H. K., &amp; Dalil, M. (2013). The challenges of domestic wastewater management in Nigeria: A case study of Minna, central Nigeria. </w:t>
      </w:r>
      <w:r w:rsidRPr="004007B6">
        <w:rPr>
          <w:rFonts w:ascii="Times New Roman" w:hAnsi="Times New Roman" w:cs="Times New Roman"/>
          <w:i/>
          <w:iCs/>
          <w:noProof/>
        </w:rPr>
        <w:t xml:space="preserve"> International Society for Development and Sustainability </w:t>
      </w:r>
      <w:r w:rsidRPr="004007B6">
        <w:rPr>
          <w:rFonts w:ascii="Times New Roman" w:hAnsi="Times New Roman" w:cs="Times New Roman"/>
          <w:noProof/>
        </w:rPr>
        <w:t xml:space="preserve">, </w:t>
      </w:r>
      <w:r w:rsidRPr="004007B6">
        <w:rPr>
          <w:rFonts w:ascii="Times New Roman" w:hAnsi="Times New Roman" w:cs="Times New Roman"/>
          <w:i/>
          <w:iCs/>
          <w:noProof/>
        </w:rPr>
        <w:t>2</w:t>
      </w:r>
      <w:r w:rsidRPr="004007B6">
        <w:rPr>
          <w:rFonts w:ascii="Times New Roman" w:hAnsi="Times New Roman" w:cs="Times New Roman"/>
          <w:noProof/>
        </w:rPr>
        <w:t>(2), 1169–1182.</w:t>
      </w:r>
    </w:p>
    <w:p w14:paraId="4EAE3D3A"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Keegan-Treloar, R., Irvine, D. J., Werner, A. D., &amp; Banks, E. W. (2023). Identifying groundwater recharge and discharge zones using geostatistical simulation of hydraulic head and its derivatives. </w:t>
      </w:r>
      <w:r w:rsidRPr="004007B6">
        <w:rPr>
          <w:rFonts w:ascii="Times New Roman" w:hAnsi="Times New Roman" w:cs="Times New Roman"/>
          <w:i/>
          <w:iCs/>
          <w:noProof/>
        </w:rPr>
        <w:t>Journal of Hydrology</w:t>
      </w:r>
      <w:r w:rsidRPr="004007B6">
        <w:rPr>
          <w:rFonts w:ascii="Times New Roman" w:hAnsi="Times New Roman" w:cs="Times New Roman"/>
          <w:noProof/>
        </w:rPr>
        <w:t xml:space="preserve">, </w:t>
      </w:r>
      <w:r w:rsidRPr="004007B6">
        <w:rPr>
          <w:rFonts w:ascii="Times New Roman" w:hAnsi="Times New Roman" w:cs="Times New Roman"/>
          <w:i/>
          <w:iCs/>
          <w:noProof/>
        </w:rPr>
        <w:t>617</w:t>
      </w:r>
      <w:r w:rsidRPr="004007B6">
        <w:rPr>
          <w:rFonts w:ascii="Times New Roman" w:hAnsi="Times New Roman" w:cs="Times New Roman"/>
          <w:noProof/>
        </w:rPr>
        <w:t>. https://doi.org/10.1016/j.jhydrol.2022.128993</w:t>
      </w:r>
    </w:p>
    <w:p w14:paraId="0D6FC9DE"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Konikow, L. F., &amp; Kendy, E. (2005). Groundwater depletion: A global problem. </w:t>
      </w:r>
      <w:r w:rsidRPr="004007B6">
        <w:rPr>
          <w:rFonts w:ascii="Times New Roman" w:hAnsi="Times New Roman" w:cs="Times New Roman"/>
          <w:i/>
          <w:iCs/>
          <w:noProof/>
        </w:rPr>
        <w:t>Hydrogeology Journal</w:t>
      </w:r>
      <w:r w:rsidRPr="004007B6">
        <w:rPr>
          <w:rFonts w:ascii="Times New Roman" w:hAnsi="Times New Roman" w:cs="Times New Roman"/>
          <w:noProof/>
        </w:rPr>
        <w:t xml:space="preserve">, </w:t>
      </w:r>
      <w:r w:rsidRPr="004007B6">
        <w:rPr>
          <w:rFonts w:ascii="Times New Roman" w:hAnsi="Times New Roman" w:cs="Times New Roman"/>
          <w:i/>
          <w:iCs/>
          <w:noProof/>
        </w:rPr>
        <w:t>13</w:t>
      </w:r>
      <w:r w:rsidRPr="004007B6">
        <w:rPr>
          <w:rFonts w:ascii="Times New Roman" w:hAnsi="Times New Roman" w:cs="Times New Roman"/>
          <w:noProof/>
        </w:rPr>
        <w:t>(1), 317–320. https://doi.org/10.1007/s10040-004-0411-8</w:t>
      </w:r>
    </w:p>
    <w:p w14:paraId="149FFD6D"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Lachassagne, P., Dewandel, B., &amp; Wyns, R. (2021). Review: Hydrogeology of weathered crystalline/hard-rock aquifers—guidelines for the operational survey and management of their groundwater resources. </w:t>
      </w:r>
      <w:r w:rsidRPr="004007B6">
        <w:rPr>
          <w:rFonts w:ascii="Times New Roman" w:hAnsi="Times New Roman" w:cs="Times New Roman"/>
          <w:i/>
          <w:iCs/>
          <w:noProof/>
        </w:rPr>
        <w:t>Hydrogeology Journal</w:t>
      </w:r>
      <w:r w:rsidRPr="004007B6">
        <w:rPr>
          <w:rFonts w:ascii="Times New Roman" w:hAnsi="Times New Roman" w:cs="Times New Roman"/>
          <w:noProof/>
        </w:rPr>
        <w:t xml:space="preserve">, </w:t>
      </w:r>
      <w:r w:rsidRPr="004007B6">
        <w:rPr>
          <w:rFonts w:ascii="Times New Roman" w:hAnsi="Times New Roman" w:cs="Times New Roman"/>
          <w:i/>
          <w:iCs/>
          <w:noProof/>
        </w:rPr>
        <w:t>29</w:t>
      </w:r>
      <w:r w:rsidRPr="004007B6">
        <w:rPr>
          <w:rFonts w:ascii="Times New Roman" w:hAnsi="Times New Roman" w:cs="Times New Roman"/>
          <w:noProof/>
        </w:rPr>
        <w:t>(8), 2561–2594. https://doi.org/10.1007/s10040-021-02339-7</w:t>
      </w:r>
    </w:p>
    <w:p w14:paraId="58CA05C7"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Mukherjee, I., &amp; Singh, U. K. (2020). Delineation of groundwater potential zones in a drought-prone semi-arid region of east India using GIS and analytical hierarchical process techniques. </w:t>
      </w:r>
      <w:r w:rsidRPr="004007B6">
        <w:rPr>
          <w:rFonts w:ascii="Times New Roman" w:hAnsi="Times New Roman" w:cs="Times New Roman"/>
          <w:i/>
          <w:iCs/>
          <w:noProof/>
        </w:rPr>
        <w:t>Catena</w:t>
      </w:r>
      <w:r w:rsidRPr="004007B6">
        <w:rPr>
          <w:rFonts w:ascii="Times New Roman" w:hAnsi="Times New Roman" w:cs="Times New Roman"/>
          <w:noProof/>
        </w:rPr>
        <w:t xml:space="preserve">, </w:t>
      </w:r>
      <w:r w:rsidRPr="004007B6">
        <w:rPr>
          <w:rFonts w:ascii="Times New Roman" w:hAnsi="Times New Roman" w:cs="Times New Roman"/>
          <w:i/>
          <w:iCs/>
          <w:noProof/>
        </w:rPr>
        <w:t>194</w:t>
      </w:r>
      <w:r w:rsidRPr="004007B6">
        <w:rPr>
          <w:rFonts w:ascii="Times New Roman" w:hAnsi="Times New Roman" w:cs="Times New Roman"/>
          <w:noProof/>
        </w:rPr>
        <w:t>. https://doi.org/10.1016/j.catena.2020.104681</w:t>
      </w:r>
    </w:p>
    <w:p w14:paraId="594C928F"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Nouradine, H., Schamper, C., Valdes, D., Moussa, I., Ramel, D., &amp; Plagnes, V. (2024). Integrating geological, hydrogeological and geophysical data to identify groundwater resources in granitic basement areas (Guéra Massif, Chad). </w:t>
      </w:r>
      <w:r w:rsidRPr="004007B6">
        <w:rPr>
          <w:rFonts w:ascii="Times New Roman" w:hAnsi="Times New Roman" w:cs="Times New Roman"/>
          <w:i/>
          <w:iCs/>
          <w:noProof/>
        </w:rPr>
        <w:t>Hydrogeology Journal</w:t>
      </w:r>
      <w:r w:rsidRPr="004007B6">
        <w:rPr>
          <w:rFonts w:ascii="Times New Roman" w:hAnsi="Times New Roman" w:cs="Times New Roman"/>
          <w:noProof/>
        </w:rPr>
        <w:t xml:space="preserve">, </w:t>
      </w:r>
      <w:r w:rsidRPr="004007B6">
        <w:rPr>
          <w:rFonts w:ascii="Times New Roman" w:hAnsi="Times New Roman" w:cs="Times New Roman"/>
          <w:i/>
          <w:iCs/>
          <w:noProof/>
        </w:rPr>
        <w:t>32</w:t>
      </w:r>
      <w:r w:rsidRPr="004007B6">
        <w:rPr>
          <w:rFonts w:ascii="Times New Roman" w:hAnsi="Times New Roman" w:cs="Times New Roman"/>
          <w:noProof/>
        </w:rPr>
        <w:t>(3), 759–784. https://doi.org/10.1007/s10040-024-02766-2</w:t>
      </w:r>
    </w:p>
    <w:p w14:paraId="699F6E09"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Obateru, R. O., Okhimamhe, A. A., Fashae, O. A., Aweda, E., Dragovich, D., &amp; Conrad, C. (2024). Community-based assessment of the dynamics of urban landscape characteristics and ecosystem services in the rainforest and guinea savanna ecoregions of Nigeria. </w:t>
      </w:r>
      <w:r w:rsidRPr="004007B6">
        <w:rPr>
          <w:rFonts w:ascii="Times New Roman" w:hAnsi="Times New Roman" w:cs="Times New Roman"/>
          <w:i/>
          <w:iCs/>
          <w:noProof/>
        </w:rPr>
        <w:t>Journal of Environmental Management</w:t>
      </w:r>
      <w:r w:rsidRPr="004007B6">
        <w:rPr>
          <w:rFonts w:ascii="Times New Roman" w:hAnsi="Times New Roman" w:cs="Times New Roman"/>
          <w:noProof/>
        </w:rPr>
        <w:t xml:space="preserve">, </w:t>
      </w:r>
      <w:r w:rsidRPr="004007B6">
        <w:rPr>
          <w:rFonts w:ascii="Times New Roman" w:hAnsi="Times New Roman" w:cs="Times New Roman"/>
          <w:i/>
          <w:iCs/>
          <w:noProof/>
        </w:rPr>
        <w:t>360</w:t>
      </w:r>
      <w:r w:rsidRPr="004007B6">
        <w:rPr>
          <w:rFonts w:ascii="Times New Roman" w:hAnsi="Times New Roman" w:cs="Times New Roman"/>
          <w:noProof/>
        </w:rPr>
        <w:t>. https://doi.org/10.1016/j.jenvman.2024.121191</w:t>
      </w:r>
    </w:p>
    <w:p w14:paraId="244D334D"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Pires, C. A., Athayde, G. B., de Souza Filho, O. A., &amp; Ofterdinger, U. (2021). Litho-structural </w:t>
      </w:r>
      <w:r w:rsidRPr="004007B6">
        <w:rPr>
          <w:rFonts w:ascii="Times New Roman" w:hAnsi="Times New Roman" w:cs="Times New Roman"/>
          <w:noProof/>
        </w:rPr>
        <w:lastRenderedPageBreak/>
        <w:t xml:space="preserve">conditioning in the exploration of fractured aquifers: a case study in the Crystalline Basement Aquifer System of Brazil. </w:t>
      </w:r>
      <w:r w:rsidRPr="004007B6">
        <w:rPr>
          <w:rFonts w:ascii="Times New Roman" w:hAnsi="Times New Roman" w:cs="Times New Roman"/>
          <w:i/>
          <w:iCs/>
          <w:noProof/>
        </w:rPr>
        <w:t>Hydrogeology Journal</w:t>
      </w:r>
      <w:r w:rsidRPr="004007B6">
        <w:rPr>
          <w:rFonts w:ascii="Times New Roman" w:hAnsi="Times New Roman" w:cs="Times New Roman"/>
          <w:noProof/>
        </w:rPr>
        <w:t xml:space="preserve">, </w:t>
      </w:r>
      <w:r w:rsidRPr="004007B6">
        <w:rPr>
          <w:rFonts w:ascii="Times New Roman" w:hAnsi="Times New Roman" w:cs="Times New Roman"/>
          <w:i/>
          <w:iCs/>
          <w:noProof/>
        </w:rPr>
        <w:t>29</w:t>
      </w:r>
      <w:r w:rsidRPr="004007B6">
        <w:rPr>
          <w:rFonts w:ascii="Times New Roman" w:hAnsi="Times New Roman" w:cs="Times New Roman"/>
          <w:noProof/>
        </w:rPr>
        <w:t>(4), 1657–1678. https://doi.org/10.1007/s10040-021-02312-4</w:t>
      </w:r>
    </w:p>
    <w:p w14:paraId="40B5D741"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Salihu, H. D., &amp; Jimada, A. M. (2016). </w:t>
      </w:r>
      <w:r w:rsidRPr="004007B6">
        <w:rPr>
          <w:rFonts w:ascii="Times New Roman" w:hAnsi="Times New Roman" w:cs="Times New Roman"/>
          <w:i/>
          <w:iCs/>
          <w:noProof/>
        </w:rPr>
        <w:t>Groundwater quality in shallow unconfined sedimentary aquifers in Bida , Nigeria</w:t>
      </w:r>
      <w:r w:rsidRPr="004007B6">
        <w:rPr>
          <w:rFonts w:ascii="Times New Roman" w:hAnsi="Times New Roman" w:cs="Times New Roman"/>
          <w:noProof/>
        </w:rPr>
        <w:t>. 1–6.</w:t>
      </w:r>
    </w:p>
    <w:p w14:paraId="1B0FC0FE" w14:textId="77777777" w:rsidR="004007B6" w:rsidRPr="004007B6" w:rsidRDefault="004007B6" w:rsidP="004007B6">
      <w:pPr>
        <w:widowControl w:val="0"/>
        <w:autoSpaceDE w:val="0"/>
        <w:autoSpaceDN w:val="0"/>
        <w:adjustRightInd w:val="0"/>
        <w:spacing w:line="240" w:lineRule="auto"/>
        <w:ind w:left="480" w:hanging="480"/>
        <w:rPr>
          <w:rFonts w:ascii="Times New Roman" w:hAnsi="Times New Roman" w:cs="Times New Roman"/>
          <w:noProof/>
        </w:rPr>
      </w:pPr>
      <w:r w:rsidRPr="004007B6">
        <w:rPr>
          <w:rFonts w:ascii="Times New Roman" w:hAnsi="Times New Roman" w:cs="Times New Roman"/>
          <w:noProof/>
        </w:rPr>
        <w:t xml:space="preserve">Wada, Y., &amp; Bierkens, M. F. P. (2014). Sustainability of global water use: Past reconstruction and future projections. </w:t>
      </w:r>
      <w:r w:rsidRPr="004007B6">
        <w:rPr>
          <w:rFonts w:ascii="Times New Roman" w:hAnsi="Times New Roman" w:cs="Times New Roman"/>
          <w:i/>
          <w:iCs/>
          <w:noProof/>
        </w:rPr>
        <w:t>Environmental Research Letters</w:t>
      </w:r>
      <w:r w:rsidRPr="004007B6">
        <w:rPr>
          <w:rFonts w:ascii="Times New Roman" w:hAnsi="Times New Roman" w:cs="Times New Roman"/>
          <w:noProof/>
        </w:rPr>
        <w:t xml:space="preserve">, </w:t>
      </w:r>
      <w:r w:rsidRPr="004007B6">
        <w:rPr>
          <w:rFonts w:ascii="Times New Roman" w:hAnsi="Times New Roman" w:cs="Times New Roman"/>
          <w:i/>
          <w:iCs/>
          <w:noProof/>
        </w:rPr>
        <w:t>9</w:t>
      </w:r>
      <w:r w:rsidRPr="004007B6">
        <w:rPr>
          <w:rFonts w:ascii="Times New Roman" w:hAnsi="Times New Roman" w:cs="Times New Roman"/>
          <w:noProof/>
        </w:rPr>
        <w:t>(10). https://doi.org/10.1088/1748-9326/9/10/104003</w:t>
      </w:r>
    </w:p>
    <w:p w14:paraId="70B6007E" w14:textId="07875731" w:rsidR="004F08AC" w:rsidRPr="00BA218E" w:rsidRDefault="00BA218E" w:rsidP="00CC31AD">
      <w:pPr>
        <w:pStyle w:val="Heading2"/>
        <w:numPr>
          <w:ilvl w:val="0"/>
          <w:numId w:val="0"/>
        </w:numPr>
        <w:rPr>
          <w:lang w:val="en-MY"/>
        </w:rPr>
      </w:pPr>
      <w:r>
        <w:rPr>
          <w:rFonts w:ascii="Times New Roman" w:hAnsi="Times New Roman" w:cs="Times New Roman"/>
          <w:b w:val="0"/>
          <w:bCs w:val="0"/>
          <w:sz w:val="24"/>
          <w:szCs w:val="24"/>
        </w:rPr>
        <w:fldChar w:fldCharType="end"/>
      </w:r>
    </w:p>
    <w:sectPr w:rsidR="004F08AC" w:rsidRPr="00BA218E" w:rsidSect="00E63BFD">
      <w:headerReference w:type="even" r:id="rId15"/>
      <w:headerReference w:type="default" r:id="rId16"/>
      <w:footerReference w:type="default" r:id="rId17"/>
      <w:headerReference w:type="first" r:id="rId18"/>
      <w:footerReference w:type="first" r:id="rId19"/>
      <w:pgSz w:w="11907" w:h="16840" w:code="9"/>
      <w:pgMar w:top="1440" w:right="1440" w:bottom="1440" w:left="1440" w:header="720" w:footer="720" w:gutter="0"/>
      <w:pgNumType w:start="13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80FF2" w14:textId="77777777" w:rsidR="008963F1" w:rsidRDefault="008963F1" w:rsidP="004E2922">
      <w:pPr>
        <w:spacing w:after="0" w:line="240" w:lineRule="auto"/>
      </w:pPr>
      <w:r>
        <w:separator/>
      </w:r>
    </w:p>
  </w:endnote>
  <w:endnote w:type="continuationSeparator" w:id="0">
    <w:p w14:paraId="633E5AC7" w14:textId="77777777" w:rsidR="008963F1" w:rsidRDefault="008963F1" w:rsidP="004E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164946B-A16A-4B0F-B179-98BCC8077D09}"/>
    <w:embedBold r:id="rId2" w:fontKey="{63E43C8E-AAB2-4D5F-AB6D-A97013CE40A0}"/>
    <w:embedItalic r:id="rId3" w:fontKey="{D9BF92C7-43A2-4E95-BE82-509905BA4123}"/>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fontKey="{9C080AD6-3AAF-412B-864F-CD254BB9B84E}"/>
  </w:font>
  <w:font w:name="Calibri Light">
    <w:panose1 w:val="020F0302020204030204"/>
    <w:charset w:val="00"/>
    <w:family w:val="swiss"/>
    <w:pitch w:val="variable"/>
    <w:sig w:usb0="E4002EFF" w:usb1="C200247B" w:usb2="00000009" w:usb3="00000000" w:csb0="000001FF" w:csb1="00000000"/>
    <w:embedRegular r:id="rId5" w:fontKey="{07BE4D20-D6AC-4B58-B845-27961FD121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493795139"/>
      <w:docPartObj>
        <w:docPartGallery w:val="Page Numbers (Bottom of Page)"/>
        <w:docPartUnique/>
      </w:docPartObj>
    </w:sdtPr>
    <w:sdtEndPr>
      <w:rPr>
        <w:noProof/>
      </w:rPr>
    </w:sdtEndPr>
    <w:sdtContent>
      <w:p w14:paraId="12BB5968" w14:textId="267C5C7E" w:rsidR="008775B6" w:rsidRPr="00785748" w:rsidRDefault="008775B6" w:rsidP="00785748">
        <w:pPr>
          <w:pStyle w:val="Footer"/>
          <w:jc w:val="center"/>
          <w:rPr>
            <w:sz w:val="22"/>
            <w:szCs w:val="22"/>
          </w:rPr>
        </w:pPr>
        <w:r w:rsidRPr="00785748">
          <w:rPr>
            <w:sz w:val="22"/>
            <w:szCs w:val="22"/>
          </w:rPr>
          <w:fldChar w:fldCharType="begin"/>
        </w:r>
        <w:r w:rsidRPr="00785748">
          <w:rPr>
            <w:sz w:val="22"/>
            <w:szCs w:val="22"/>
          </w:rPr>
          <w:instrText xml:space="preserve"> PAGE   \* MERGEFORMAT </w:instrText>
        </w:r>
        <w:r w:rsidRPr="00785748">
          <w:rPr>
            <w:sz w:val="22"/>
            <w:szCs w:val="22"/>
          </w:rPr>
          <w:fldChar w:fldCharType="separate"/>
        </w:r>
        <w:r w:rsidRPr="00785748">
          <w:rPr>
            <w:noProof/>
            <w:sz w:val="22"/>
            <w:szCs w:val="22"/>
          </w:rPr>
          <w:t>2</w:t>
        </w:r>
        <w:r w:rsidRPr="00785748">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AACAF" w14:textId="3A5EF73C" w:rsidR="00914373" w:rsidRPr="00763767" w:rsidRDefault="00914373" w:rsidP="006D59AF">
    <w:pPr>
      <w:spacing w:after="0" w:line="240" w:lineRule="auto"/>
      <w:rPr>
        <w:sz w:val="16"/>
        <w:szCs w:val="16"/>
      </w:rPr>
    </w:pPr>
    <w:r w:rsidRPr="00763767">
      <w:rPr>
        <w:sz w:val="16"/>
        <w:szCs w:val="16"/>
      </w:rPr>
      <w:t xml:space="preserve">Received </w:t>
    </w:r>
    <w:r w:rsidR="009E71F4">
      <w:rPr>
        <w:sz w:val="16"/>
        <w:szCs w:val="16"/>
      </w:rPr>
      <w:t>February</w:t>
    </w:r>
    <w:r w:rsidRPr="00763767">
      <w:rPr>
        <w:sz w:val="16"/>
        <w:szCs w:val="16"/>
      </w:rPr>
      <w:t xml:space="preserve"> </w:t>
    </w:r>
    <w:r w:rsidR="009E71F4">
      <w:rPr>
        <w:sz w:val="16"/>
        <w:szCs w:val="16"/>
      </w:rPr>
      <w:t>8</w:t>
    </w:r>
    <w:r w:rsidRPr="00763767">
      <w:rPr>
        <w:sz w:val="16"/>
        <w:szCs w:val="16"/>
      </w:rPr>
      <w:t xml:space="preserve">, </w:t>
    </w:r>
    <w:r w:rsidR="009E71F4">
      <w:rPr>
        <w:sz w:val="16"/>
        <w:szCs w:val="16"/>
      </w:rPr>
      <w:t>2026</w:t>
    </w:r>
    <w:r w:rsidRPr="00763767">
      <w:rPr>
        <w:sz w:val="16"/>
        <w:szCs w:val="16"/>
      </w:rPr>
      <w:tab/>
    </w:r>
    <w:r w:rsidR="00763767">
      <w:rPr>
        <w:sz w:val="16"/>
        <w:szCs w:val="16"/>
      </w:rPr>
      <w:tab/>
    </w:r>
    <w:r w:rsidR="00763767">
      <w:rPr>
        <w:sz w:val="16"/>
        <w:szCs w:val="16"/>
      </w:rPr>
      <w:tab/>
    </w:r>
    <w:r w:rsidRPr="00763767">
      <w:rPr>
        <w:sz w:val="16"/>
        <w:szCs w:val="16"/>
      </w:rPr>
      <w:t xml:space="preserve">Revised </w:t>
    </w:r>
    <w:r w:rsidR="00F233DF">
      <w:rPr>
        <w:sz w:val="16"/>
        <w:szCs w:val="16"/>
      </w:rPr>
      <w:t>April</w:t>
    </w:r>
    <w:r w:rsidRPr="00763767">
      <w:rPr>
        <w:sz w:val="16"/>
        <w:szCs w:val="16"/>
      </w:rPr>
      <w:t xml:space="preserve"> </w:t>
    </w:r>
    <w:r w:rsidR="00F233DF">
      <w:rPr>
        <w:sz w:val="16"/>
        <w:szCs w:val="16"/>
      </w:rPr>
      <w:t>01</w:t>
    </w:r>
    <w:r w:rsidRPr="00763767">
      <w:rPr>
        <w:sz w:val="16"/>
        <w:szCs w:val="16"/>
      </w:rPr>
      <w:t xml:space="preserve">, </w:t>
    </w:r>
    <w:r w:rsidR="00F233DF">
      <w:rPr>
        <w:sz w:val="16"/>
        <w:szCs w:val="16"/>
      </w:rPr>
      <w:t>2026</w:t>
    </w:r>
    <w:r w:rsidR="00763767">
      <w:rPr>
        <w:sz w:val="16"/>
        <w:szCs w:val="16"/>
      </w:rPr>
      <w:tab/>
      <w:t xml:space="preserve">    </w:t>
    </w:r>
    <w:r w:rsidR="00763767">
      <w:rPr>
        <w:sz w:val="16"/>
        <w:szCs w:val="16"/>
      </w:rPr>
      <w:tab/>
    </w:r>
    <w:r w:rsidRPr="00763767">
      <w:rPr>
        <w:sz w:val="16"/>
        <w:szCs w:val="16"/>
      </w:rPr>
      <w:tab/>
    </w:r>
    <w:r w:rsidR="00763767">
      <w:rPr>
        <w:sz w:val="16"/>
        <w:szCs w:val="16"/>
      </w:rPr>
      <w:t xml:space="preserve">    </w:t>
    </w:r>
    <w:r w:rsidRPr="00763767">
      <w:rPr>
        <w:sz w:val="16"/>
        <w:szCs w:val="16"/>
      </w:rPr>
      <w:t xml:space="preserve">Accepted </w:t>
    </w:r>
    <w:r w:rsidR="009E71F4">
      <w:rPr>
        <w:sz w:val="16"/>
        <w:szCs w:val="16"/>
      </w:rPr>
      <w:t>June</w:t>
    </w:r>
    <w:r w:rsidRPr="00763767">
      <w:rPr>
        <w:sz w:val="16"/>
        <w:szCs w:val="16"/>
      </w:rPr>
      <w:t xml:space="preserve"> </w:t>
    </w:r>
    <w:r w:rsidR="009E71F4">
      <w:rPr>
        <w:sz w:val="16"/>
        <w:szCs w:val="16"/>
      </w:rPr>
      <w:t>28</w:t>
    </w:r>
    <w:r w:rsidRPr="00763767">
      <w:rPr>
        <w:sz w:val="16"/>
        <w:szCs w:val="16"/>
      </w:rPr>
      <w:t xml:space="preserve">, </w:t>
    </w:r>
    <w:r w:rsidR="009E71F4">
      <w:rPr>
        <w:sz w:val="16"/>
        <w:szCs w:val="16"/>
      </w:rPr>
      <w:t>2026</w:t>
    </w:r>
  </w:p>
  <w:p w14:paraId="1D80DF46" w14:textId="2079F06B" w:rsidR="004A4A4B" w:rsidRPr="00FC54DD" w:rsidRDefault="00FC54DD" w:rsidP="006D59AF">
    <w:pPr>
      <w:spacing w:after="0" w:line="240" w:lineRule="auto"/>
      <w:rPr>
        <w:rFonts w:ascii="Times New Roman" w:hAnsi="Times New Roman" w:cs="Times New Roman"/>
        <w:sz w:val="16"/>
        <w:szCs w:val="16"/>
      </w:rPr>
    </w:pPr>
    <w:proofErr w:type="spellStart"/>
    <w:r w:rsidRPr="00FC54DD">
      <w:rPr>
        <w:rFonts w:ascii="Times New Roman" w:hAnsi="Times New Roman" w:cs="Times New Roman"/>
        <w:sz w:val="16"/>
        <w:szCs w:val="16"/>
        <w:bdr w:val="none" w:sz="0" w:space="0" w:color="auto" w:frame="1"/>
        <w:shd w:val="clear" w:color="auto" w:fill="FFFFFF"/>
      </w:rPr>
      <w:t>EISSN</w:t>
    </w:r>
    <w:proofErr w:type="spellEnd"/>
    <w:r w:rsidRPr="00FC54DD">
      <w:rPr>
        <w:rFonts w:ascii="Times New Roman" w:hAnsi="Times New Roman" w:cs="Times New Roman"/>
        <w:sz w:val="16"/>
        <w:szCs w:val="16"/>
        <w:bdr w:val="none" w:sz="0" w:space="0" w:color="auto" w:frame="1"/>
        <w:shd w:val="clear" w:color="auto" w:fill="FFFFFF"/>
      </w:rPr>
      <w:t>: </w:t>
    </w:r>
    <w:r w:rsidRPr="00FC54DD">
      <w:rPr>
        <w:rFonts w:ascii="Times New Roman" w:hAnsi="Times New Roman" w:cs="Times New Roman"/>
        <w:color w:val="646464"/>
        <w:sz w:val="16"/>
        <w:szCs w:val="16"/>
        <w:shd w:val="clear" w:color="auto" w:fill="FFFFFF"/>
      </w:rPr>
      <w:t>3121-9292</w:t>
    </w:r>
    <w:r w:rsidRPr="00FC54DD">
      <w:rPr>
        <w:rFonts w:ascii="Times New Roman" w:hAnsi="Times New Roman" w:cs="Times New Roman"/>
        <w:color w:val="646464"/>
        <w:sz w:val="16"/>
        <w:szCs w:val="16"/>
        <w:shd w:val="clear" w:color="auto" w:fill="FFFFFF"/>
      </w:rPr>
      <w:tab/>
    </w:r>
    <w:r w:rsidRPr="00FC54DD">
      <w:rPr>
        <w:rFonts w:ascii="Times New Roman" w:hAnsi="Times New Roman" w:cs="Times New Roman"/>
        <w:sz w:val="16"/>
        <w:szCs w:val="16"/>
        <w:bdr w:val="none" w:sz="0" w:space="0" w:color="auto" w:frame="1"/>
        <w:shd w:val="clear" w:color="auto" w:fill="FFFFFF"/>
      </w:rPr>
      <w:br/>
      <w:t>ISSN: </w:t>
    </w:r>
    <w:r w:rsidRPr="00FC54DD">
      <w:rPr>
        <w:rFonts w:ascii="Times New Roman" w:hAnsi="Times New Roman" w:cs="Times New Roman"/>
        <w:color w:val="646464"/>
        <w:sz w:val="16"/>
        <w:szCs w:val="16"/>
        <w:shd w:val="clear" w:color="auto" w:fill="FFFFFF"/>
      </w:rPr>
      <w:t>3121-6552</w:t>
    </w:r>
  </w:p>
  <w:p w14:paraId="6C472CE0" w14:textId="77777777" w:rsidR="00914373" w:rsidRDefault="00914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3586C" w14:textId="77777777" w:rsidR="008963F1" w:rsidRDefault="008963F1" w:rsidP="004E2922">
      <w:pPr>
        <w:spacing w:after="0" w:line="240" w:lineRule="auto"/>
      </w:pPr>
      <w:r>
        <w:separator/>
      </w:r>
    </w:p>
  </w:footnote>
  <w:footnote w:type="continuationSeparator" w:id="0">
    <w:p w14:paraId="1DA48213" w14:textId="77777777" w:rsidR="008963F1" w:rsidRDefault="008963F1" w:rsidP="004E2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0F81" w14:textId="2F4472A5" w:rsidR="00CF1176" w:rsidRPr="00763767" w:rsidRDefault="00CF1176" w:rsidP="00CF1176">
    <w:pPr>
      <w:pBdr>
        <w:top w:val="nil"/>
        <w:left w:val="nil"/>
        <w:bottom w:val="nil"/>
        <w:right w:val="nil"/>
        <w:between w:val="nil"/>
      </w:pBdr>
      <w:tabs>
        <w:tab w:val="center" w:pos="4320"/>
        <w:tab w:val="right" w:pos="8640"/>
      </w:tabs>
      <w:rPr>
        <w:color w:val="000000"/>
        <w:sz w:val="16"/>
        <w:szCs w:val="16"/>
      </w:rPr>
    </w:pPr>
    <w:r w:rsidRPr="00763767">
      <w:rPr>
        <w:color w:val="000000"/>
        <w:sz w:val="16"/>
        <w:szCs w:val="16"/>
      </w:rPr>
      <w:fldChar w:fldCharType="begin"/>
    </w:r>
    <w:r w:rsidRPr="00763767">
      <w:rPr>
        <w:rFonts w:ascii="Times New Roman" w:eastAsia="Times New Roman" w:hAnsi="Times New Roman" w:cs="Times New Roman"/>
        <w:color w:val="000000"/>
        <w:sz w:val="16"/>
        <w:szCs w:val="16"/>
      </w:rPr>
      <w:instrText>PAGE</w:instrText>
    </w:r>
    <w:r w:rsidRPr="00763767">
      <w:rPr>
        <w:color w:val="000000"/>
        <w:sz w:val="16"/>
        <w:szCs w:val="16"/>
      </w:rPr>
      <w:fldChar w:fldCharType="separate"/>
    </w:r>
    <w:r w:rsidRPr="00763767">
      <w:rPr>
        <w:color w:val="000000"/>
        <w:sz w:val="16"/>
        <w:szCs w:val="16"/>
      </w:rPr>
      <w:t>4</w:t>
    </w:r>
    <w:r w:rsidRPr="00763767">
      <w:rPr>
        <w:color w:val="000000"/>
        <w:sz w:val="16"/>
        <w:szCs w:val="16"/>
      </w:rPr>
      <w:fldChar w:fldCharType="end"/>
    </w:r>
    <w:r w:rsidRPr="00763767">
      <w:rPr>
        <w:rFonts w:ascii="Times New Roman" w:eastAsia="Times New Roman" w:hAnsi="Times New Roman" w:cs="Times New Roman"/>
        <w:color w:val="000000"/>
        <w:sz w:val="16"/>
        <w:szCs w:val="16"/>
      </w:rPr>
      <w:tab/>
      <w:t xml:space="preserve"> </w:t>
    </w:r>
    <w:r w:rsidR="008236C2">
      <w:rPr>
        <w:rFonts w:ascii="Times New Roman" w:eastAsia="Times New Roman" w:hAnsi="Times New Roman" w:cs="Times New Roman"/>
        <w:color w:val="000000"/>
        <w:sz w:val="16"/>
        <w:szCs w:val="16"/>
      </w:rPr>
      <w:t>Sulaiman</w:t>
    </w:r>
    <w:r w:rsidRPr="00763767">
      <w:rPr>
        <w:rFonts w:ascii="Times New Roman" w:eastAsia="Times New Roman" w:hAnsi="Times New Roman" w:cs="Times New Roman"/>
        <w:color w:val="000000"/>
        <w:sz w:val="16"/>
        <w:szCs w:val="16"/>
      </w:rPr>
      <w:t xml:space="preserve"> et al. /</w:t>
    </w:r>
    <w:proofErr w:type="spellStart"/>
    <w:r w:rsidR="00107628" w:rsidRPr="00763767">
      <w:rPr>
        <w:rFonts w:ascii="Times New Roman" w:eastAsia="Times New Roman" w:hAnsi="Times New Roman" w:cs="Times New Roman"/>
        <w:color w:val="000000"/>
        <w:sz w:val="16"/>
        <w:szCs w:val="16"/>
      </w:rPr>
      <w:t>MJSTEM</w:t>
    </w:r>
    <w:proofErr w:type="spellEnd"/>
    <w:r w:rsidRPr="00763767">
      <w:rPr>
        <w:rFonts w:ascii="Times New Roman" w:eastAsia="Times New Roman" w:hAnsi="Times New Roman" w:cs="Times New Roman"/>
        <w:color w:val="000000"/>
        <w:sz w:val="16"/>
        <w:szCs w:val="16"/>
      </w:rPr>
      <w:t xml:space="preserve"> Vol </w:t>
    </w:r>
    <w:r w:rsidR="00F233DF">
      <w:rPr>
        <w:rFonts w:ascii="Times New Roman" w:eastAsia="Times New Roman" w:hAnsi="Times New Roman" w:cs="Times New Roman"/>
        <w:color w:val="000000"/>
        <w:sz w:val="16"/>
        <w:szCs w:val="16"/>
      </w:rPr>
      <w:t>2</w:t>
    </w:r>
    <w:r w:rsidRPr="00763767">
      <w:rPr>
        <w:rFonts w:ascii="Times New Roman" w:eastAsia="Times New Roman" w:hAnsi="Times New Roman" w:cs="Times New Roman"/>
        <w:color w:val="000000"/>
        <w:sz w:val="16"/>
        <w:szCs w:val="16"/>
      </w:rPr>
      <w:t xml:space="preserve"> (</w:t>
    </w:r>
    <w:r w:rsidR="008236C2">
      <w:rPr>
        <w:rFonts w:ascii="Times New Roman" w:eastAsia="Times New Roman" w:hAnsi="Times New Roman" w:cs="Times New Roman"/>
        <w:color w:val="000000"/>
        <w:sz w:val="16"/>
        <w:szCs w:val="16"/>
      </w:rPr>
      <w:t>2026</w:t>
    </w:r>
    <w:r w:rsidRPr="00763767">
      <w:rPr>
        <w:rFonts w:ascii="Times New Roman" w:eastAsia="Times New Roman" w:hAnsi="Times New Roman" w:cs="Times New Roman"/>
        <w:color w:val="000000"/>
        <w:sz w:val="16"/>
        <w:szCs w:val="16"/>
      </w:rPr>
      <w:t>) pp. 1</w:t>
    </w:r>
    <w:r w:rsidR="0051049F">
      <w:rPr>
        <w:rFonts w:ascii="Times New Roman" w:eastAsia="Times New Roman" w:hAnsi="Times New Roman" w:cs="Times New Roman"/>
        <w:color w:val="000000"/>
        <w:sz w:val="16"/>
        <w:szCs w:val="16"/>
      </w:rPr>
      <w:t>30-14</w:t>
    </w:r>
    <w:r w:rsidR="00AB3BBD">
      <w:rPr>
        <w:rFonts w:ascii="Times New Roman" w:eastAsia="Times New Roman" w:hAnsi="Times New Roman" w:cs="Times New Roman"/>
        <w:color w:val="000000"/>
        <w:sz w:val="16"/>
        <w:szCs w:val="16"/>
      </w:rPr>
      <w:t>3</w:t>
    </w:r>
  </w:p>
  <w:p w14:paraId="17DEA836" w14:textId="391BF31A" w:rsidR="00BF588A" w:rsidRPr="00763767" w:rsidRDefault="00BF588A" w:rsidP="00CF1176">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006D9" w14:textId="026DD131" w:rsidR="00BE151A" w:rsidRPr="004B4A5E" w:rsidRDefault="00BE151A" w:rsidP="00BE151A">
    <w:pPr>
      <w:pStyle w:val="Header"/>
      <w:jc w:val="center"/>
      <w:rPr>
        <w:sz w:val="16"/>
        <w:szCs w:val="16"/>
      </w:rPr>
    </w:pPr>
    <w:r w:rsidRPr="004B4A5E">
      <w:rPr>
        <w:sz w:val="16"/>
        <w:szCs w:val="16"/>
      </w:rPr>
      <w:t>https://doi.org/</w:t>
    </w:r>
    <w:r w:rsidR="00701D36" w:rsidRPr="00701D36">
      <w:rPr>
        <w:sz w:val="16"/>
        <w:szCs w:val="16"/>
      </w:rPr>
      <w:t>10.5281/zenodo.21171750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F243" w14:textId="2A39EC11" w:rsidR="00B8238C" w:rsidRDefault="00B8238C" w:rsidP="00B8238C">
    <w:pPr>
      <w:pStyle w:val="Header"/>
      <w:jc w:val="center"/>
    </w:pPr>
    <w:r>
      <w:t xml:space="preserve">Multidisciplinary Journal of Science Technology Education and Management </w:t>
    </w:r>
    <w:r w:rsidR="003920A5">
      <w:t>2</w:t>
    </w:r>
    <w:r>
      <w:t xml:space="preserve"> (202</w:t>
    </w:r>
    <w:r w:rsidR="00636E63">
      <w:t>6</w:t>
    </w:r>
    <w:r>
      <w:t xml:space="preserve">) </w:t>
    </w:r>
    <w:r w:rsidR="003920A5">
      <w:t>035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437C1"/>
    <w:multiLevelType w:val="multilevel"/>
    <w:tmpl w:val="47EEC1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910DD"/>
    <w:multiLevelType w:val="hybridMultilevel"/>
    <w:tmpl w:val="0EFC32FC"/>
    <w:lvl w:ilvl="0" w:tplc="616E1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176FA"/>
    <w:multiLevelType w:val="multilevel"/>
    <w:tmpl w:val="5394CB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C3E45"/>
    <w:multiLevelType w:val="multilevel"/>
    <w:tmpl w:val="3F30860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F0103B"/>
    <w:multiLevelType w:val="multilevel"/>
    <w:tmpl w:val="B5900C98"/>
    <w:lvl w:ilvl="0">
      <w:start w:val="1"/>
      <w:numFmt w:val="decimal"/>
      <w:lvlText w:val="%1."/>
      <w:lvlJc w:val="left"/>
      <w:pPr>
        <w:ind w:left="1311" w:hanging="460"/>
      </w:pPr>
      <w:rPr>
        <w:rFonts w:hint="default"/>
      </w:rPr>
    </w:lvl>
    <w:lvl w:ilvl="1">
      <w:start w:val="1"/>
      <w:numFmt w:val="decimal"/>
      <w:lvlText w:val="%1.%2."/>
      <w:lvlJc w:val="left"/>
      <w:pPr>
        <w:ind w:left="1571"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71"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291" w:hanging="1440"/>
      </w:pPr>
      <w:rPr>
        <w:rFonts w:hint="default"/>
      </w:rPr>
    </w:lvl>
    <w:lvl w:ilvl="5">
      <w:start w:val="1"/>
      <w:numFmt w:val="decimal"/>
      <w:lvlText w:val="%1.%2.%3.%4.%5.%6."/>
      <w:lvlJc w:val="left"/>
      <w:pPr>
        <w:ind w:left="2291" w:hanging="1440"/>
      </w:pPr>
      <w:rPr>
        <w:rFonts w:hint="default"/>
      </w:rPr>
    </w:lvl>
    <w:lvl w:ilvl="6">
      <w:start w:val="1"/>
      <w:numFmt w:val="decimal"/>
      <w:lvlText w:val="%1.%2.%3.%4.%5.%6.%7."/>
      <w:lvlJc w:val="left"/>
      <w:pPr>
        <w:ind w:left="2651" w:hanging="1800"/>
      </w:pPr>
      <w:rPr>
        <w:rFonts w:hint="default"/>
      </w:rPr>
    </w:lvl>
    <w:lvl w:ilvl="7">
      <w:start w:val="1"/>
      <w:numFmt w:val="decimal"/>
      <w:lvlText w:val="%1.%2.%3.%4.%5.%6.%7.%8."/>
      <w:lvlJc w:val="left"/>
      <w:pPr>
        <w:ind w:left="2651" w:hanging="1800"/>
      </w:pPr>
      <w:rPr>
        <w:rFonts w:hint="default"/>
      </w:rPr>
    </w:lvl>
    <w:lvl w:ilvl="8">
      <w:start w:val="1"/>
      <w:numFmt w:val="decimal"/>
      <w:lvlText w:val="%1.%2.%3.%4.%5.%6.%7.%8.%9."/>
      <w:lvlJc w:val="left"/>
      <w:pPr>
        <w:ind w:left="3011" w:hanging="2160"/>
      </w:pPr>
      <w:rPr>
        <w:rFonts w:hint="default"/>
      </w:rPr>
    </w:lvl>
  </w:abstractNum>
  <w:abstractNum w:abstractNumId="5" w15:restartNumberingAfterBreak="0">
    <w:nsid w:val="1CA224F3"/>
    <w:multiLevelType w:val="multilevel"/>
    <w:tmpl w:val="4F804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E550D5"/>
    <w:multiLevelType w:val="multilevel"/>
    <w:tmpl w:val="6CBA9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167F71"/>
    <w:multiLevelType w:val="multilevel"/>
    <w:tmpl w:val="D0001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192FCF"/>
    <w:multiLevelType w:val="multilevel"/>
    <w:tmpl w:val="E7621A26"/>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lvl>
    <w:lvl w:ilvl="3">
      <w:start w:val="1"/>
      <w:numFmt w:val="decimal"/>
      <w:pStyle w:val="Heading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D6B131F"/>
    <w:multiLevelType w:val="multilevel"/>
    <w:tmpl w:val="93849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AE47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5614CF5"/>
    <w:multiLevelType w:val="multilevel"/>
    <w:tmpl w:val="42DECA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2D5A01"/>
    <w:multiLevelType w:val="multilevel"/>
    <w:tmpl w:val="383CC5B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A0235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350503E"/>
    <w:multiLevelType w:val="hybridMultilevel"/>
    <w:tmpl w:val="42A8B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41236F"/>
    <w:multiLevelType w:val="hybridMultilevel"/>
    <w:tmpl w:val="33023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1C3BDB"/>
    <w:multiLevelType w:val="hybridMultilevel"/>
    <w:tmpl w:val="6532C4EE"/>
    <w:lvl w:ilvl="0" w:tplc="8FF8A06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76794E"/>
    <w:multiLevelType w:val="hybridMultilevel"/>
    <w:tmpl w:val="E2D0FA0A"/>
    <w:lvl w:ilvl="0" w:tplc="12747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369627">
    <w:abstractNumId w:val="1"/>
  </w:num>
  <w:num w:numId="2" w16cid:durableId="696661045">
    <w:abstractNumId w:val="4"/>
  </w:num>
  <w:num w:numId="3" w16cid:durableId="25835266">
    <w:abstractNumId w:val="16"/>
  </w:num>
  <w:num w:numId="4" w16cid:durableId="1195534280">
    <w:abstractNumId w:val="17"/>
  </w:num>
  <w:num w:numId="5" w16cid:durableId="1496605103">
    <w:abstractNumId w:val="3"/>
  </w:num>
  <w:num w:numId="6" w16cid:durableId="395860896">
    <w:abstractNumId w:val="14"/>
  </w:num>
  <w:num w:numId="7" w16cid:durableId="1753814774">
    <w:abstractNumId w:val="15"/>
  </w:num>
  <w:num w:numId="8" w16cid:durableId="391973367">
    <w:abstractNumId w:val="12"/>
  </w:num>
  <w:num w:numId="9" w16cid:durableId="327902194">
    <w:abstractNumId w:val="10"/>
  </w:num>
  <w:num w:numId="10" w16cid:durableId="121465671">
    <w:abstractNumId w:val="13"/>
  </w:num>
  <w:num w:numId="11" w16cid:durableId="610019719">
    <w:abstractNumId w:val="8"/>
  </w:num>
  <w:num w:numId="12" w16cid:durableId="1639022277">
    <w:abstractNumId w:val="9"/>
  </w:num>
  <w:num w:numId="13" w16cid:durableId="309091551">
    <w:abstractNumId w:val="6"/>
    <w:lvlOverride w:ilvl="0">
      <w:lvl w:ilvl="0">
        <w:numFmt w:val="decimal"/>
        <w:lvlText w:val="%1."/>
        <w:lvlJc w:val="left"/>
      </w:lvl>
    </w:lvlOverride>
  </w:num>
  <w:num w:numId="14" w16cid:durableId="668141064">
    <w:abstractNumId w:val="5"/>
    <w:lvlOverride w:ilvl="0">
      <w:lvl w:ilvl="0">
        <w:numFmt w:val="decimal"/>
        <w:lvlText w:val="%1."/>
        <w:lvlJc w:val="left"/>
      </w:lvl>
    </w:lvlOverride>
  </w:num>
  <w:num w:numId="15" w16cid:durableId="1019308568">
    <w:abstractNumId w:val="2"/>
    <w:lvlOverride w:ilvl="0">
      <w:lvl w:ilvl="0">
        <w:numFmt w:val="decimal"/>
        <w:lvlText w:val="%1."/>
        <w:lvlJc w:val="left"/>
      </w:lvl>
    </w:lvlOverride>
  </w:num>
  <w:num w:numId="16" w16cid:durableId="1007631417">
    <w:abstractNumId w:val="11"/>
    <w:lvlOverride w:ilvl="0">
      <w:lvl w:ilvl="0">
        <w:numFmt w:val="decimal"/>
        <w:lvlText w:val="%1."/>
        <w:lvlJc w:val="left"/>
      </w:lvl>
    </w:lvlOverride>
  </w:num>
  <w:num w:numId="17" w16cid:durableId="1984889675">
    <w:abstractNumId w:val="0"/>
    <w:lvlOverride w:ilvl="0">
      <w:lvl w:ilvl="0">
        <w:numFmt w:val="decimal"/>
        <w:lvlText w:val="%1."/>
        <w:lvlJc w:val="left"/>
      </w:lvl>
    </w:lvlOverride>
  </w:num>
  <w:num w:numId="18" w16cid:durableId="19519322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wMTU3NTUwNjI1szRW0lEKTi0uzszPAykwqgUAV0ct1CwAAAA="/>
  </w:docVars>
  <w:rsids>
    <w:rsidRoot w:val="00B24839"/>
    <w:rsid w:val="00007659"/>
    <w:rsid w:val="00013E32"/>
    <w:rsid w:val="00022838"/>
    <w:rsid w:val="0003439D"/>
    <w:rsid w:val="00035308"/>
    <w:rsid w:val="00047546"/>
    <w:rsid w:val="000500D2"/>
    <w:rsid w:val="00052C61"/>
    <w:rsid w:val="00053561"/>
    <w:rsid w:val="000564AF"/>
    <w:rsid w:val="00061D76"/>
    <w:rsid w:val="00063113"/>
    <w:rsid w:val="00067A23"/>
    <w:rsid w:val="000743E8"/>
    <w:rsid w:val="000828AB"/>
    <w:rsid w:val="00082CD6"/>
    <w:rsid w:val="0008714C"/>
    <w:rsid w:val="000929E5"/>
    <w:rsid w:val="00096D33"/>
    <w:rsid w:val="00097779"/>
    <w:rsid w:val="000C6450"/>
    <w:rsid w:val="000D139B"/>
    <w:rsid w:val="000D3D3D"/>
    <w:rsid w:val="000D67A8"/>
    <w:rsid w:val="000E46FE"/>
    <w:rsid w:val="000E723F"/>
    <w:rsid w:val="000F3C5D"/>
    <w:rsid w:val="000F6A7C"/>
    <w:rsid w:val="00100493"/>
    <w:rsid w:val="00106AED"/>
    <w:rsid w:val="00107628"/>
    <w:rsid w:val="00115440"/>
    <w:rsid w:val="001200F4"/>
    <w:rsid w:val="00120C78"/>
    <w:rsid w:val="00122721"/>
    <w:rsid w:val="0012468D"/>
    <w:rsid w:val="00130816"/>
    <w:rsid w:val="00142070"/>
    <w:rsid w:val="00142647"/>
    <w:rsid w:val="00144A69"/>
    <w:rsid w:val="00171642"/>
    <w:rsid w:val="00181CE5"/>
    <w:rsid w:val="00182735"/>
    <w:rsid w:val="00190C85"/>
    <w:rsid w:val="00193933"/>
    <w:rsid w:val="001A354A"/>
    <w:rsid w:val="001B2713"/>
    <w:rsid w:val="001B57A7"/>
    <w:rsid w:val="001D5A33"/>
    <w:rsid w:val="001E1D4A"/>
    <w:rsid w:val="001E4FFE"/>
    <w:rsid w:val="001E5751"/>
    <w:rsid w:val="00222D05"/>
    <w:rsid w:val="00227FA7"/>
    <w:rsid w:val="0023049C"/>
    <w:rsid w:val="00230F8E"/>
    <w:rsid w:val="0023360E"/>
    <w:rsid w:val="00236338"/>
    <w:rsid w:val="002421EF"/>
    <w:rsid w:val="00247445"/>
    <w:rsid w:val="00247449"/>
    <w:rsid w:val="00255E2D"/>
    <w:rsid w:val="002802B6"/>
    <w:rsid w:val="0028580E"/>
    <w:rsid w:val="00294D6B"/>
    <w:rsid w:val="002B1BC6"/>
    <w:rsid w:val="002B2248"/>
    <w:rsid w:val="002B7B68"/>
    <w:rsid w:val="002C06D7"/>
    <w:rsid w:val="002C37EA"/>
    <w:rsid w:val="002C7ED3"/>
    <w:rsid w:val="002D0DFF"/>
    <w:rsid w:val="002F08C0"/>
    <w:rsid w:val="002F737A"/>
    <w:rsid w:val="00314350"/>
    <w:rsid w:val="003166FE"/>
    <w:rsid w:val="00320831"/>
    <w:rsid w:val="0032096B"/>
    <w:rsid w:val="00326942"/>
    <w:rsid w:val="00331233"/>
    <w:rsid w:val="00331E72"/>
    <w:rsid w:val="00332DAB"/>
    <w:rsid w:val="00332FAF"/>
    <w:rsid w:val="003338DE"/>
    <w:rsid w:val="00334ACC"/>
    <w:rsid w:val="003455C1"/>
    <w:rsid w:val="003521B3"/>
    <w:rsid w:val="00354B2A"/>
    <w:rsid w:val="0036417D"/>
    <w:rsid w:val="00371C37"/>
    <w:rsid w:val="00376564"/>
    <w:rsid w:val="00383BFD"/>
    <w:rsid w:val="0038480A"/>
    <w:rsid w:val="00386897"/>
    <w:rsid w:val="003920A5"/>
    <w:rsid w:val="00393566"/>
    <w:rsid w:val="00393980"/>
    <w:rsid w:val="003A2AC7"/>
    <w:rsid w:val="003A66A3"/>
    <w:rsid w:val="003B60B4"/>
    <w:rsid w:val="003D6DD1"/>
    <w:rsid w:val="003E1BA2"/>
    <w:rsid w:val="003E39C0"/>
    <w:rsid w:val="003F0438"/>
    <w:rsid w:val="004007B6"/>
    <w:rsid w:val="00403482"/>
    <w:rsid w:val="004203B0"/>
    <w:rsid w:val="00430749"/>
    <w:rsid w:val="0044620C"/>
    <w:rsid w:val="00452057"/>
    <w:rsid w:val="00452A9C"/>
    <w:rsid w:val="00471603"/>
    <w:rsid w:val="0047608F"/>
    <w:rsid w:val="00477CE5"/>
    <w:rsid w:val="00483959"/>
    <w:rsid w:val="00490D54"/>
    <w:rsid w:val="004938FE"/>
    <w:rsid w:val="004A022C"/>
    <w:rsid w:val="004A4A4B"/>
    <w:rsid w:val="004A5987"/>
    <w:rsid w:val="004B1152"/>
    <w:rsid w:val="004B1D4C"/>
    <w:rsid w:val="004B4A5E"/>
    <w:rsid w:val="004C0775"/>
    <w:rsid w:val="004C6258"/>
    <w:rsid w:val="004D11FD"/>
    <w:rsid w:val="004D275B"/>
    <w:rsid w:val="004E2922"/>
    <w:rsid w:val="004F01A4"/>
    <w:rsid w:val="004F08AC"/>
    <w:rsid w:val="004F3C4D"/>
    <w:rsid w:val="004F72CF"/>
    <w:rsid w:val="00505985"/>
    <w:rsid w:val="0051049F"/>
    <w:rsid w:val="005131C3"/>
    <w:rsid w:val="00515E90"/>
    <w:rsid w:val="0051799A"/>
    <w:rsid w:val="00520D7D"/>
    <w:rsid w:val="00524106"/>
    <w:rsid w:val="00527050"/>
    <w:rsid w:val="00530D01"/>
    <w:rsid w:val="00535204"/>
    <w:rsid w:val="0055000F"/>
    <w:rsid w:val="0055729B"/>
    <w:rsid w:val="005633B2"/>
    <w:rsid w:val="005727A2"/>
    <w:rsid w:val="00572A6C"/>
    <w:rsid w:val="00577C5B"/>
    <w:rsid w:val="005821A7"/>
    <w:rsid w:val="00586722"/>
    <w:rsid w:val="0059398F"/>
    <w:rsid w:val="005A0588"/>
    <w:rsid w:val="005A0AE5"/>
    <w:rsid w:val="005A159A"/>
    <w:rsid w:val="005A1C9D"/>
    <w:rsid w:val="005A48A8"/>
    <w:rsid w:val="005B04FA"/>
    <w:rsid w:val="005B0DE2"/>
    <w:rsid w:val="005C236A"/>
    <w:rsid w:val="005C621C"/>
    <w:rsid w:val="005C7724"/>
    <w:rsid w:val="005D1D40"/>
    <w:rsid w:val="005D47A9"/>
    <w:rsid w:val="005D6C34"/>
    <w:rsid w:val="005E0845"/>
    <w:rsid w:val="005F1180"/>
    <w:rsid w:val="00600365"/>
    <w:rsid w:val="00601ACA"/>
    <w:rsid w:val="006152E7"/>
    <w:rsid w:val="00615B79"/>
    <w:rsid w:val="0062266A"/>
    <w:rsid w:val="0062410A"/>
    <w:rsid w:val="00624DA5"/>
    <w:rsid w:val="00625E17"/>
    <w:rsid w:val="00636E63"/>
    <w:rsid w:val="006723BD"/>
    <w:rsid w:val="006B025D"/>
    <w:rsid w:val="006C06DB"/>
    <w:rsid w:val="006D4488"/>
    <w:rsid w:val="006D59AF"/>
    <w:rsid w:val="006E1801"/>
    <w:rsid w:val="006F1928"/>
    <w:rsid w:val="00700680"/>
    <w:rsid w:val="00701D36"/>
    <w:rsid w:val="00706151"/>
    <w:rsid w:val="0071539C"/>
    <w:rsid w:val="00721682"/>
    <w:rsid w:val="00742D9C"/>
    <w:rsid w:val="007430F0"/>
    <w:rsid w:val="00761228"/>
    <w:rsid w:val="0076249C"/>
    <w:rsid w:val="007633F3"/>
    <w:rsid w:val="00763767"/>
    <w:rsid w:val="0077219D"/>
    <w:rsid w:val="00775D8E"/>
    <w:rsid w:val="007779A3"/>
    <w:rsid w:val="00785748"/>
    <w:rsid w:val="0078618E"/>
    <w:rsid w:val="00790473"/>
    <w:rsid w:val="00790E90"/>
    <w:rsid w:val="00790F2D"/>
    <w:rsid w:val="00795DD9"/>
    <w:rsid w:val="007B0804"/>
    <w:rsid w:val="007B3ACD"/>
    <w:rsid w:val="007C09A1"/>
    <w:rsid w:val="007C6965"/>
    <w:rsid w:val="007D1024"/>
    <w:rsid w:val="007D13D2"/>
    <w:rsid w:val="007D4B95"/>
    <w:rsid w:val="007D4F88"/>
    <w:rsid w:val="007D5B49"/>
    <w:rsid w:val="007F6232"/>
    <w:rsid w:val="00800F1A"/>
    <w:rsid w:val="008031E8"/>
    <w:rsid w:val="00812D1A"/>
    <w:rsid w:val="00815D68"/>
    <w:rsid w:val="00822D0B"/>
    <w:rsid w:val="008236C2"/>
    <w:rsid w:val="00831D44"/>
    <w:rsid w:val="00831E7D"/>
    <w:rsid w:val="008328A6"/>
    <w:rsid w:val="00840BB4"/>
    <w:rsid w:val="00841CEE"/>
    <w:rsid w:val="0084414D"/>
    <w:rsid w:val="00844198"/>
    <w:rsid w:val="00844AB7"/>
    <w:rsid w:val="00855F90"/>
    <w:rsid w:val="00875861"/>
    <w:rsid w:val="008770B7"/>
    <w:rsid w:val="008775B6"/>
    <w:rsid w:val="0088736E"/>
    <w:rsid w:val="00892462"/>
    <w:rsid w:val="008963F1"/>
    <w:rsid w:val="008A375F"/>
    <w:rsid w:val="008B09B8"/>
    <w:rsid w:val="008B131F"/>
    <w:rsid w:val="008C1D6E"/>
    <w:rsid w:val="008C26ED"/>
    <w:rsid w:val="008D418C"/>
    <w:rsid w:val="008D7F54"/>
    <w:rsid w:val="008E300F"/>
    <w:rsid w:val="008E5757"/>
    <w:rsid w:val="008F4AC3"/>
    <w:rsid w:val="008F4B5B"/>
    <w:rsid w:val="009068A6"/>
    <w:rsid w:val="00910F79"/>
    <w:rsid w:val="00914373"/>
    <w:rsid w:val="00923F09"/>
    <w:rsid w:val="00925336"/>
    <w:rsid w:val="0093116E"/>
    <w:rsid w:val="00934B57"/>
    <w:rsid w:val="00936314"/>
    <w:rsid w:val="00947093"/>
    <w:rsid w:val="00950DFA"/>
    <w:rsid w:val="009550B5"/>
    <w:rsid w:val="00963ACE"/>
    <w:rsid w:val="0096402E"/>
    <w:rsid w:val="00967D72"/>
    <w:rsid w:val="00976ED8"/>
    <w:rsid w:val="00980B67"/>
    <w:rsid w:val="0098504B"/>
    <w:rsid w:val="009902A3"/>
    <w:rsid w:val="009A1CFD"/>
    <w:rsid w:val="009A5C92"/>
    <w:rsid w:val="009A5D70"/>
    <w:rsid w:val="009B431E"/>
    <w:rsid w:val="009B57F6"/>
    <w:rsid w:val="009C515B"/>
    <w:rsid w:val="009D66B0"/>
    <w:rsid w:val="009E71F4"/>
    <w:rsid w:val="009F3F67"/>
    <w:rsid w:val="009F6610"/>
    <w:rsid w:val="00A016B2"/>
    <w:rsid w:val="00A36C19"/>
    <w:rsid w:val="00A40C84"/>
    <w:rsid w:val="00A40DE6"/>
    <w:rsid w:val="00A52AB9"/>
    <w:rsid w:val="00A54591"/>
    <w:rsid w:val="00A61999"/>
    <w:rsid w:val="00A637DD"/>
    <w:rsid w:val="00A67A59"/>
    <w:rsid w:val="00A71428"/>
    <w:rsid w:val="00A729EE"/>
    <w:rsid w:val="00A85B6B"/>
    <w:rsid w:val="00A965B3"/>
    <w:rsid w:val="00AA2FF4"/>
    <w:rsid w:val="00AA35FA"/>
    <w:rsid w:val="00AB2A70"/>
    <w:rsid w:val="00AB3BBD"/>
    <w:rsid w:val="00AC20AB"/>
    <w:rsid w:val="00AC44BE"/>
    <w:rsid w:val="00AC53CA"/>
    <w:rsid w:val="00AC5C91"/>
    <w:rsid w:val="00AD1620"/>
    <w:rsid w:val="00AE10D0"/>
    <w:rsid w:val="00AE527C"/>
    <w:rsid w:val="00AF14F3"/>
    <w:rsid w:val="00B03DCE"/>
    <w:rsid w:val="00B23D58"/>
    <w:rsid w:val="00B24839"/>
    <w:rsid w:val="00B32BB6"/>
    <w:rsid w:val="00B36357"/>
    <w:rsid w:val="00B41CC8"/>
    <w:rsid w:val="00B556F2"/>
    <w:rsid w:val="00B57E31"/>
    <w:rsid w:val="00B67F87"/>
    <w:rsid w:val="00B8238C"/>
    <w:rsid w:val="00B82E23"/>
    <w:rsid w:val="00B93151"/>
    <w:rsid w:val="00BA218E"/>
    <w:rsid w:val="00BA418E"/>
    <w:rsid w:val="00BA443C"/>
    <w:rsid w:val="00BA4F62"/>
    <w:rsid w:val="00BA54EA"/>
    <w:rsid w:val="00BB3F08"/>
    <w:rsid w:val="00BB4090"/>
    <w:rsid w:val="00BC56C5"/>
    <w:rsid w:val="00BD122B"/>
    <w:rsid w:val="00BD1A2F"/>
    <w:rsid w:val="00BD5C98"/>
    <w:rsid w:val="00BD7E39"/>
    <w:rsid w:val="00BE151A"/>
    <w:rsid w:val="00BE4722"/>
    <w:rsid w:val="00BE5A8D"/>
    <w:rsid w:val="00BF0112"/>
    <w:rsid w:val="00BF2B0E"/>
    <w:rsid w:val="00BF4425"/>
    <w:rsid w:val="00BF588A"/>
    <w:rsid w:val="00C1120A"/>
    <w:rsid w:val="00C14576"/>
    <w:rsid w:val="00C202AA"/>
    <w:rsid w:val="00C35FBA"/>
    <w:rsid w:val="00C401EA"/>
    <w:rsid w:val="00C457B7"/>
    <w:rsid w:val="00C507A9"/>
    <w:rsid w:val="00C526FE"/>
    <w:rsid w:val="00C53357"/>
    <w:rsid w:val="00C534FE"/>
    <w:rsid w:val="00C56D7B"/>
    <w:rsid w:val="00C6754B"/>
    <w:rsid w:val="00C73DB6"/>
    <w:rsid w:val="00C74603"/>
    <w:rsid w:val="00C76D5C"/>
    <w:rsid w:val="00C77DA5"/>
    <w:rsid w:val="00C83EF9"/>
    <w:rsid w:val="00C85A1A"/>
    <w:rsid w:val="00CA48BA"/>
    <w:rsid w:val="00CC0888"/>
    <w:rsid w:val="00CC31AD"/>
    <w:rsid w:val="00CC32AF"/>
    <w:rsid w:val="00CF1176"/>
    <w:rsid w:val="00D029ED"/>
    <w:rsid w:val="00D050EA"/>
    <w:rsid w:val="00D13EE2"/>
    <w:rsid w:val="00D16919"/>
    <w:rsid w:val="00D31EA6"/>
    <w:rsid w:val="00D54BC6"/>
    <w:rsid w:val="00D92BD6"/>
    <w:rsid w:val="00D93AE0"/>
    <w:rsid w:val="00D962FB"/>
    <w:rsid w:val="00DA02F3"/>
    <w:rsid w:val="00DA49F6"/>
    <w:rsid w:val="00DA7DB8"/>
    <w:rsid w:val="00DB5FBF"/>
    <w:rsid w:val="00DC1CDB"/>
    <w:rsid w:val="00DC432F"/>
    <w:rsid w:val="00DC50C7"/>
    <w:rsid w:val="00DD066F"/>
    <w:rsid w:val="00DD44FF"/>
    <w:rsid w:val="00DF1FFB"/>
    <w:rsid w:val="00DF22E8"/>
    <w:rsid w:val="00DF4487"/>
    <w:rsid w:val="00DF76A8"/>
    <w:rsid w:val="00DF7DB5"/>
    <w:rsid w:val="00E1021E"/>
    <w:rsid w:val="00E10304"/>
    <w:rsid w:val="00E1478E"/>
    <w:rsid w:val="00E170CD"/>
    <w:rsid w:val="00E20963"/>
    <w:rsid w:val="00E23DD5"/>
    <w:rsid w:val="00E24D90"/>
    <w:rsid w:val="00E40F10"/>
    <w:rsid w:val="00E42333"/>
    <w:rsid w:val="00E448A1"/>
    <w:rsid w:val="00E45C94"/>
    <w:rsid w:val="00E5008D"/>
    <w:rsid w:val="00E5233F"/>
    <w:rsid w:val="00E530F2"/>
    <w:rsid w:val="00E542A0"/>
    <w:rsid w:val="00E61BF4"/>
    <w:rsid w:val="00E63BFD"/>
    <w:rsid w:val="00E7553E"/>
    <w:rsid w:val="00E83BBA"/>
    <w:rsid w:val="00E86783"/>
    <w:rsid w:val="00E90E49"/>
    <w:rsid w:val="00E93D8D"/>
    <w:rsid w:val="00EA0EF7"/>
    <w:rsid w:val="00EA468F"/>
    <w:rsid w:val="00EA7C32"/>
    <w:rsid w:val="00EB2C3A"/>
    <w:rsid w:val="00EB3C11"/>
    <w:rsid w:val="00EB6AB4"/>
    <w:rsid w:val="00EE3D79"/>
    <w:rsid w:val="00EE51E7"/>
    <w:rsid w:val="00EE587B"/>
    <w:rsid w:val="00F1468E"/>
    <w:rsid w:val="00F20699"/>
    <w:rsid w:val="00F233DF"/>
    <w:rsid w:val="00F249DC"/>
    <w:rsid w:val="00F4362E"/>
    <w:rsid w:val="00F51B40"/>
    <w:rsid w:val="00F51F42"/>
    <w:rsid w:val="00F65D52"/>
    <w:rsid w:val="00F75D6A"/>
    <w:rsid w:val="00FB0922"/>
    <w:rsid w:val="00FC54DD"/>
    <w:rsid w:val="00FD34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B0FD"/>
  <w14:defaultImageDpi w14:val="32767"/>
  <w15:chartTrackingRefBased/>
  <w15:docId w15:val="{F2ED0BC8-7A83-46D2-AC47-F142BBD4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66A"/>
    <w:pPr>
      <w:spacing w:after="200" w:line="276" w:lineRule="auto"/>
      <w:jc w:val="both"/>
    </w:pPr>
    <w:rPr>
      <w:rFonts w:asciiTheme="majorBidi" w:hAnsiTheme="majorBidi" w:cstheme="majorBidi"/>
      <w:sz w:val="24"/>
      <w:szCs w:val="24"/>
    </w:rPr>
  </w:style>
  <w:style w:type="paragraph" w:styleId="Heading1">
    <w:name w:val="heading 1"/>
    <w:basedOn w:val="Normal"/>
    <w:next w:val="Normal"/>
    <w:link w:val="Heading1Char"/>
    <w:uiPriority w:val="9"/>
    <w:qFormat/>
    <w:rsid w:val="001D5A33"/>
    <w:pPr>
      <w:jc w:val="center"/>
      <w:outlineLvl w:val="0"/>
    </w:pPr>
    <w:rPr>
      <w:b/>
      <w:bCs/>
      <w:sz w:val="34"/>
      <w:szCs w:val="34"/>
    </w:rPr>
  </w:style>
  <w:style w:type="paragraph" w:styleId="Heading2">
    <w:name w:val="heading 2"/>
    <w:basedOn w:val="ListParagraph"/>
    <w:next w:val="Normal"/>
    <w:link w:val="Heading2Char"/>
    <w:uiPriority w:val="9"/>
    <w:unhideWhenUsed/>
    <w:qFormat/>
    <w:rsid w:val="000D3D3D"/>
    <w:pPr>
      <w:numPr>
        <w:numId w:val="11"/>
      </w:numPr>
      <w:ind w:left="992" w:hanging="992"/>
      <w:outlineLvl w:val="1"/>
    </w:pPr>
    <w:rPr>
      <w:b/>
      <w:bCs/>
      <w:sz w:val="30"/>
      <w:szCs w:val="30"/>
    </w:rPr>
  </w:style>
  <w:style w:type="paragraph" w:styleId="Heading3">
    <w:name w:val="heading 3"/>
    <w:basedOn w:val="ListParagraph"/>
    <w:next w:val="Normal"/>
    <w:link w:val="Heading3Char"/>
    <w:uiPriority w:val="9"/>
    <w:unhideWhenUsed/>
    <w:qFormat/>
    <w:rsid w:val="000D3D3D"/>
    <w:pPr>
      <w:numPr>
        <w:ilvl w:val="1"/>
        <w:numId w:val="11"/>
      </w:numPr>
      <w:ind w:left="993" w:hanging="993"/>
      <w:outlineLvl w:val="2"/>
    </w:pPr>
    <w:rPr>
      <w:b/>
      <w:bCs/>
      <w:sz w:val="28"/>
      <w:szCs w:val="28"/>
    </w:rPr>
  </w:style>
  <w:style w:type="paragraph" w:styleId="Heading4">
    <w:name w:val="heading 4"/>
    <w:basedOn w:val="ListParagraph"/>
    <w:next w:val="Normal"/>
    <w:link w:val="Heading4Char"/>
    <w:uiPriority w:val="9"/>
    <w:unhideWhenUsed/>
    <w:qFormat/>
    <w:rsid w:val="000D3D3D"/>
    <w:pPr>
      <w:numPr>
        <w:ilvl w:val="2"/>
        <w:numId w:val="11"/>
      </w:numPr>
      <w:ind w:left="993" w:hanging="993"/>
      <w:outlineLvl w:val="3"/>
    </w:pPr>
    <w:rPr>
      <w:b/>
      <w:bCs/>
      <w:sz w:val="26"/>
      <w:szCs w:val="26"/>
    </w:rPr>
  </w:style>
  <w:style w:type="paragraph" w:styleId="Heading5">
    <w:name w:val="heading 5"/>
    <w:basedOn w:val="ListParagraph"/>
    <w:next w:val="Normal"/>
    <w:link w:val="Heading5Char"/>
    <w:uiPriority w:val="9"/>
    <w:unhideWhenUsed/>
    <w:qFormat/>
    <w:rsid w:val="000D3D3D"/>
    <w:pPr>
      <w:numPr>
        <w:ilvl w:val="3"/>
        <w:numId w:val="11"/>
      </w:numPr>
      <w:ind w:left="993" w:hanging="993"/>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A33"/>
    <w:rPr>
      <w:rFonts w:asciiTheme="majorBidi" w:hAnsiTheme="majorBidi" w:cstheme="majorBidi"/>
      <w:b/>
      <w:bCs/>
      <w:sz w:val="34"/>
      <w:szCs w:val="34"/>
    </w:rPr>
  </w:style>
  <w:style w:type="character" w:styleId="Hyperlink">
    <w:name w:val="Hyperlink"/>
    <w:basedOn w:val="DefaultParagraphFont"/>
    <w:uiPriority w:val="99"/>
    <w:unhideWhenUsed/>
    <w:rsid w:val="007633F3"/>
    <w:rPr>
      <w:color w:val="0563C1" w:themeColor="hyperlink"/>
      <w:u w:val="single"/>
    </w:rPr>
  </w:style>
  <w:style w:type="character" w:styleId="UnresolvedMention">
    <w:name w:val="Unresolved Mention"/>
    <w:basedOn w:val="DefaultParagraphFont"/>
    <w:uiPriority w:val="99"/>
    <w:semiHidden/>
    <w:unhideWhenUsed/>
    <w:rsid w:val="007633F3"/>
    <w:rPr>
      <w:color w:val="605E5C"/>
      <w:shd w:val="clear" w:color="auto" w:fill="E1DFDD"/>
    </w:rPr>
  </w:style>
  <w:style w:type="character" w:styleId="LineNumber">
    <w:name w:val="line number"/>
    <w:basedOn w:val="DefaultParagraphFont"/>
    <w:uiPriority w:val="99"/>
    <w:semiHidden/>
    <w:unhideWhenUsed/>
    <w:rsid w:val="00967D72"/>
  </w:style>
  <w:style w:type="paragraph" w:styleId="ListParagraph">
    <w:name w:val="List Paragraph"/>
    <w:basedOn w:val="Normal"/>
    <w:uiPriority w:val="34"/>
    <w:qFormat/>
    <w:rsid w:val="00193933"/>
    <w:pPr>
      <w:ind w:left="720"/>
      <w:contextualSpacing/>
    </w:pPr>
  </w:style>
  <w:style w:type="character" w:customStyle="1" w:styleId="Heading2Char">
    <w:name w:val="Heading 2 Char"/>
    <w:basedOn w:val="DefaultParagraphFont"/>
    <w:link w:val="Heading2"/>
    <w:uiPriority w:val="9"/>
    <w:rsid w:val="000D3D3D"/>
    <w:rPr>
      <w:rFonts w:asciiTheme="majorBidi" w:hAnsiTheme="majorBidi" w:cstheme="majorBidi"/>
      <w:b/>
      <w:bCs/>
      <w:sz w:val="30"/>
      <w:szCs w:val="30"/>
    </w:rPr>
  </w:style>
  <w:style w:type="character" w:customStyle="1" w:styleId="Heading3Char">
    <w:name w:val="Heading 3 Char"/>
    <w:basedOn w:val="DefaultParagraphFont"/>
    <w:link w:val="Heading3"/>
    <w:uiPriority w:val="9"/>
    <w:rsid w:val="000D3D3D"/>
    <w:rPr>
      <w:rFonts w:asciiTheme="majorBidi" w:hAnsiTheme="majorBidi" w:cstheme="majorBidi"/>
      <w:b/>
      <w:bCs/>
      <w:sz w:val="28"/>
      <w:szCs w:val="28"/>
    </w:rPr>
  </w:style>
  <w:style w:type="character" w:customStyle="1" w:styleId="Heading4Char">
    <w:name w:val="Heading 4 Char"/>
    <w:basedOn w:val="DefaultParagraphFont"/>
    <w:link w:val="Heading4"/>
    <w:uiPriority w:val="9"/>
    <w:rsid w:val="000D3D3D"/>
    <w:rPr>
      <w:rFonts w:asciiTheme="majorBidi" w:hAnsiTheme="majorBidi" w:cstheme="majorBidi"/>
      <w:b/>
      <w:bCs/>
      <w:sz w:val="26"/>
      <w:szCs w:val="26"/>
    </w:rPr>
  </w:style>
  <w:style w:type="character" w:customStyle="1" w:styleId="Heading5Char">
    <w:name w:val="Heading 5 Char"/>
    <w:basedOn w:val="DefaultParagraphFont"/>
    <w:link w:val="Heading5"/>
    <w:uiPriority w:val="9"/>
    <w:rsid w:val="000D3D3D"/>
    <w:rPr>
      <w:rFonts w:asciiTheme="majorBidi" w:hAnsiTheme="majorBidi" w:cstheme="majorBidi"/>
      <w:b/>
      <w:bCs/>
      <w:sz w:val="24"/>
      <w:szCs w:val="24"/>
    </w:rPr>
  </w:style>
  <w:style w:type="table" w:styleId="TableGrid">
    <w:name w:val="Table Grid"/>
    <w:basedOn w:val="TableNormal"/>
    <w:uiPriority w:val="39"/>
    <w:rsid w:val="00DB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47093"/>
    <w:pPr>
      <w:tabs>
        <w:tab w:val="left" w:pos="384"/>
      </w:tabs>
      <w:spacing w:after="0" w:line="240" w:lineRule="auto"/>
      <w:ind w:left="384" w:hanging="384"/>
    </w:pPr>
  </w:style>
  <w:style w:type="character" w:styleId="PlaceholderText">
    <w:name w:val="Placeholder Text"/>
    <w:basedOn w:val="DefaultParagraphFont"/>
    <w:uiPriority w:val="99"/>
    <w:semiHidden/>
    <w:rsid w:val="00BE5A8D"/>
    <w:rPr>
      <w:color w:val="808080"/>
    </w:rPr>
  </w:style>
  <w:style w:type="paragraph" w:styleId="Header">
    <w:name w:val="header"/>
    <w:basedOn w:val="Normal"/>
    <w:link w:val="HeaderChar"/>
    <w:uiPriority w:val="99"/>
    <w:unhideWhenUsed/>
    <w:rsid w:val="004E2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922"/>
    <w:rPr>
      <w:rFonts w:asciiTheme="majorBidi" w:hAnsiTheme="majorBidi" w:cstheme="majorBidi"/>
      <w:sz w:val="24"/>
      <w:szCs w:val="24"/>
    </w:rPr>
  </w:style>
  <w:style w:type="paragraph" w:styleId="Footer">
    <w:name w:val="footer"/>
    <w:basedOn w:val="Normal"/>
    <w:link w:val="FooterChar"/>
    <w:uiPriority w:val="99"/>
    <w:unhideWhenUsed/>
    <w:rsid w:val="004E2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922"/>
    <w:rPr>
      <w:rFonts w:asciiTheme="majorBidi" w:hAnsiTheme="majorBidi" w:cstheme="majorBidi"/>
      <w:sz w:val="24"/>
      <w:szCs w:val="24"/>
    </w:rPr>
  </w:style>
  <w:style w:type="paragraph" w:styleId="FootnoteText">
    <w:name w:val="footnote text"/>
    <w:basedOn w:val="Normal"/>
    <w:link w:val="FootnoteTextChar"/>
    <w:uiPriority w:val="99"/>
    <w:semiHidden/>
    <w:unhideWhenUsed/>
    <w:rsid w:val="002304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49C"/>
    <w:rPr>
      <w:rFonts w:asciiTheme="majorBidi" w:hAnsiTheme="majorBidi" w:cstheme="majorBidi"/>
      <w:sz w:val="20"/>
      <w:szCs w:val="20"/>
    </w:rPr>
  </w:style>
  <w:style w:type="character" w:styleId="FootnoteReference">
    <w:name w:val="footnote reference"/>
    <w:basedOn w:val="DefaultParagraphFont"/>
    <w:uiPriority w:val="99"/>
    <w:semiHidden/>
    <w:unhideWhenUsed/>
    <w:rsid w:val="0023049C"/>
    <w:rPr>
      <w:vertAlign w:val="superscript"/>
    </w:rPr>
  </w:style>
  <w:style w:type="paragraph" w:styleId="NormalWeb">
    <w:name w:val="Normal (Web)"/>
    <w:basedOn w:val="Normal"/>
    <w:uiPriority w:val="99"/>
    <w:semiHidden/>
    <w:unhideWhenUsed/>
    <w:rsid w:val="002B1BC6"/>
    <w:pPr>
      <w:spacing w:before="100" w:beforeAutospacing="1" w:after="100" w:afterAutospacing="1" w:line="240" w:lineRule="auto"/>
      <w:jc w:val="left"/>
    </w:pPr>
    <w:rPr>
      <w:rFonts w:ascii="Times New Roman" w:eastAsia="Times New Roman" w:hAnsi="Times New Roman" w:cs="Times New Roman"/>
    </w:rPr>
  </w:style>
  <w:style w:type="paragraph" w:customStyle="1" w:styleId="Instruction">
    <w:name w:val="Instruction"/>
    <w:basedOn w:val="Normal"/>
    <w:link w:val="InstructionChar"/>
    <w:qFormat/>
    <w:rsid w:val="004F08AC"/>
    <w:rPr>
      <w:rFonts w:asciiTheme="minorBidi" w:hAnsiTheme="minorBidi" w:cstheme="minorBidi"/>
      <w:color w:val="0000FF"/>
      <w:sz w:val="20"/>
      <w:szCs w:val="20"/>
    </w:rPr>
  </w:style>
  <w:style w:type="character" w:customStyle="1" w:styleId="InstructionChar">
    <w:name w:val="Instruction Char"/>
    <w:basedOn w:val="DefaultParagraphFont"/>
    <w:link w:val="Instruction"/>
    <w:rsid w:val="004F08AC"/>
    <w:rPr>
      <w:rFonts w:asciiTheme="minorBidi" w:hAnsiTheme="minorBidi"/>
      <w:color w:val="0000FF"/>
      <w:sz w:val="20"/>
      <w:szCs w:val="20"/>
    </w:rPr>
  </w:style>
  <w:style w:type="character" w:styleId="Strong">
    <w:name w:val="Strong"/>
    <w:basedOn w:val="DefaultParagraphFont"/>
    <w:uiPriority w:val="22"/>
    <w:qFormat/>
    <w:rsid w:val="00B8238C"/>
    <w:rPr>
      <w:b/>
      <w:bCs/>
    </w:rPr>
  </w:style>
  <w:style w:type="character" w:styleId="Emphasis">
    <w:name w:val="Emphasis"/>
    <w:basedOn w:val="DefaultParagraphFont"/>
    <w:uiPriority w:val="20"/>
    <w:qFormat/>
    <w:rsid w:val="00B823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91923">
      <w:bodyDiv w:val="1"/>
      <w:marLeft w:val="0"/>
      <w:marRight w:val="0"/>
      <w:marTop w:val="0"/>
      <w:marBottom w:val="0"/>
      <w:divBdr>
        <w:top w:val="none" w:sz="0" w:space="0" w:color="auto"/>
        <w:left w:val="none" w:sz="0" w:space="0" w:color="auto"/>
        <w:bottom w:val="none" w:sz="0" w:space="0" w:color="auto"/>
        <w:right w:val="none" w:sz="0" w:space="0" w:color="auto"/>
      </w:divBdr>
      <w:divsChild>
        <w:div w:id="448403578">
          <w:marLeft w:val="360"/>
          <w:marRight w:val="0"/>
          <w:marTop w:val="0"/>
          <w:marBottom w:val="0"/>
          <w:divBdr>
            <w:top w:val="none" w:sz="0" w:space="0" w:color="auto"/>
            <w:left w:val="none" w:sz="0" w:space="0" w:color="auto"/>
            <w:bottom w:val="none" w:sz="0" w:space="0" w:color="auto"/>
            <w:right w:val="none" w:sz="0" w:space="0" w:color="auto"/>
          </w:divBdr>
        </w:div>
      </w:divsChild>
    </w:div>
    <w:div w:id="367225749">
      <w:bodyDiv w:val="1"/>
      <w:marLeft w:val="0"/>
      <w:marRight w:val="0"/>
      <w:marTop w:val="0"/>
      <w:marBottom w:val="0"/>
      <w:divBdr>
        <w:top w:val="none" w:sz="0" w:space="0" w:color="auto"/>
        <w:left w:val="none" w:sz="0" w:space="0" w:color="auto"/>
        <w:bottom w:val="none" w:sz="0" w:space="0" w:color="auto"/>
        <w:right w:val="none" w:sz="0" w:space="0" w:color="auto"/>
      </w:divBdr>
      <w:divsChild>
        <w:div w:id="66270986">
          <w:marLeft w:val="360"/>
          <w:marRight w:val="0"/>
          <w:marTop w:val="0"/>
          <w:marBottom w:val="0"/>
          <w:divBdr>
            <w:top w:val="none" w:sz="0" w:space="0" w:color="auto"/>
            <w:left w:val="none" w:sz="0" w:space="0" w:color="auto"/>
            <w:bottom w:val="none" w:sz="0" w:space="0" w:color="auto"/>
            <w:right w:val="none" w:sz="0" w:space="0" w:color="auto"/>
          </w:divBdr>
        </w:div>
      </w:divsChild>
    </w:div>
    <w:div w:id="818808963">
      <w:bodyDiv w:val="1"/>
      <w:marLeft w:val="0"/>
      <w:marRight w:val="0"/>
      <w:marTop w:val="0"/>
      <w:marBottom w:val="0"/>
      <w:divBdr>
        <w:top w:val="none" w:sz="0" w:space="0" w:color="auto"/>
        <w:left w:val="none" w:sz="0" w:space="0" w:color="auto"/>
        <w:bottom w:val="none" w:sz="0" w:space="0" w:color="auto"/>
        <w:right w:val="none" w:sz="0" w:space="0" w:color="auto"/>
      </w:divBdr>
    </w:div>
    <w:div w:id="1495030571">
      <w:bodyDiv w:val="1"/>
      <w:marLeft w:val="0"/>
      <w:marRight w:val="0"/>
      <w:marTop w:val="0"/>
      <w:marBottom w:val="0"/>
      <w:divBdr>
        <w:top w:val="none" w:sz="0" w:space="0" w:color="auto"/>
        <w:left w:val="none" w:sz="0" w:space="0" w:color="auto"/>
        <w:bottom w:val="none" w:sz="0" w:space="0" w:color="auto"/>
        <w:right w:val="none" w:sz="0" w:space="0" w:color="auto"/>
      </w:divBdr>
    </w:div>
    <w:div w:id="1633050412">
      <w:bodyDiv w:val="1"/>
      <w:marLeft w:val="0"/>
      <w:marRight w:val="0"/>
      <w:marTop w:val="0"/>
      <w:marBottom w:val="0"/>
      <w:divBdr>
        <w:top w:val="none" w:sz="0" w:space="0" w:color="auto"/>
        <w:left w:val="none" w:sz="0" w:space="0" w:color="auto"/>
        <w:bottom w:val="none" w:sz="0" w:space="0" w:color="auto"/>
        <w:right w:val="none" w:sz="0" w:space="0" w:color="auto"/>
      </w:divBdr>
    </w:div>
    <w:div w:id="173149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DF9F0-BF25-4DB5-A838-C3E60887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14</Pages>
  <Words>11376</Words>
  <Characters>64848</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Radboud University Nijmegen</Company>
  <LinksUpToDate>false</LinksUpToDate>
  <CharactersWithSpaces>76072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Niloy Sikder</dc:creator>
  <cp:keywords/>
  <dc:description/>
  <cp:lastModifiedBy>Aliyu Mustapha</cp:lastModifiedBy>
  <cp:revision>11</cp:revision>
  <cp:lastPrinted>2026-07-03T09:55:00Z</cp:lastPrinted>
  <dcterms:created xsi:type="dcterms:W3CDTF">2026-07-03T08:42:00Z</dcterms:created>
  <dcterms:modified xsi:type="dcterms:W3CDTF">2026-07-03T10:01:00Z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id="edATKbv3"/&gt;&lt;style id="http://www.zotero.org/styles/multidisciplinary-digital-publishing-institute"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http://www.zotero.org/styles/harvard1</vt:lpwstr>
  </property>
  <property fmtid="{D5CDD505-2E9C-101B-9397-08002B2CF9AE}" pid="15" name="Mendeley Recent Style Name 4_1">
    <vt:lpwstr>Harvard reference format 1 (deprecated)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http://www.zotero.org/styles/sensors</vt:lpwstr>
  </property>
  <property fmtid="{D5CDD505-2E9C-101B-9397-08002B2CF9AE}" pid="23" name="Mendeley Recent Style Name 8_1">
    <vt:lpwstr>Sensors</vt:lpwstr>
  </property>
  <property fmtid="{D5CDD505-2E9C-101B-9397-08002B2CF9AE}" pid="24" name="Mendeley Recent Style Id 9_1">
    <vt:lpwstr>http://www.zotero.org/styles/springer-lecture-notes-in-computer-science</vt:lpwstr>
  </property>
  <property fmtid="{D5CDD505-2E9C-101B-9397-08002B2CF9AE}" pid="25" name="Mendeley Recent Style Name 9_1">
    <vt:lpwstr>Springer - Lecture Notes in Computer Science</vt:lpwstr>
  </property>
  <property fmtid="{D5CDD505-2E9C-101B-9397-08002B2CF9AE}" pid="26" name="Mendeley Unique User Id_1">
    <vt:lpwstr>bacff8a8-d384-3c25-9180-4074944c76ad</vt:lpwstr>
  </property>
  <property fmtid="{D5CDD505-2E9C-101B-9397-08002B2CF9AE}" pid="27" name="GrammarlyDocumentId">
    <vt:lpwstr>57087e9c-442d-41c4-a243-6930c56304e6</vt:lpwstr>
  </property>
</Properties>
</file>