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8926" w:type="dxa"/>
        <w:tblLook w:val="04A0" w:firstRow="1" w:lastRow="0" w:firstColumn="1" w:lastColumn="0" w:noHBand="0" w:noVBand="1"/>
      </w:tblPr>
      <w:tblGrid>
        <w:gridCol w:w="8926"/>
      </w:tblGrid>
      <w:tr w:rsidR="00B8238C" w14:paraId="0148763A" w14:textId="77777777" w:rsidTr="007D1024">
        <w:trPr>
          <w:trHeight w:val="1152"/>
        </w:trPr>
        <w:tc>
          <w:tcPr>
            <w:tcW w:w="8926" w:type="dxa"/>
          </w:tcPr>
          <w:p w14:paraId="5EF1E76F" w14:textId="0F0417B4" w:rsidR="00B8238C" w:rsidRDefault="00EF4AB3" w:rsidP="00B8238C">
            <w:pPr>
              <w:pStyle w:val="Heading1"/>
            </w:pPr>
            <w:r>
              <w:rPr>
                <w:noProof/>
              </w:rPr>
              <w:drawing>
                <wp:anchor distT="0" distB="0" distL="114300" distR="114300" simplePos="0" relativeHeight="251658240" behindDoc="1" locked="0" layoutInCell="1" allowOverlap="1" wp14:anchorId="3522F7E2" wp14:editId="2D6C231D">
                  <wp:simplePos x="0" y="0"/>
                  <wp:positionH relativeFrom="column">
                    <wp:posOffset>-13970</wp:posOffset>
                  </wp:positionH>
                  <wp:positionV relativeFrom="paragraph">
                    <wp:posOffset>2540</wp:posOffset>
                  </wp:positionV>
                  <wp:extent cx="806450" cy="696595"/>
                  <wp:effectExtent l="0" t="0" r="0" b="8255"/>
                  <wp:wrapTight wrapText="bothSides">
                    <wp:wrapPolygon edited="0">
                      <wp:start x="0" y="0"/>
                      <wp:lineTo x="0" y="21265"/>
                      <wp:lineTo x="20920" y="21265"/>
                      <wp:lineTo x="20920" y="0"/>
                      <wp:lineTo x="0" y="0"/>
                    </wp:wrapPolygon>
                  </wp:wrapTight>
                  <wp:docPr id="69395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6450" cy="69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F1180">
              <w:rPr>
                <w:noProof/>
              </w:rPr>
              <mc:AlternateContent>
                <mc:Choice Requires="wps">
                  <w:drawing>
                    <wp:anchor distT="0" distB="0" distL="114300" distR="114300" simplePos="0" relativeHeight="251657215" behindDoc="0" locked="0" layoutInCell="1" allowOverlap="1" wp14:anchorId="0D006650" wp14:editId="6568DB17">
                      <wp:simplePos x="0" y="0"/>
                      <wp:positionH relativeFrom="column">
                        <wp:posOffset>893445</wp:posOffset>
                      </wp:positionH>
                      <wp:positionV relativeFrom="paragraph">
                        <wp:posOffset>43815</wp:posOffset>
                      </wp:positionV>
                      <wp:extent cx="3928745" cy="614680"/>
                      <wp:effectExtent l="0" t="0" r="14605" b="13970"/>
                      <wp:wrapNone/>
                      <wp:docPr id="2014958709" name="Text Box 2"/>
                      <wp:cNvGraphicFramePr/>
                      <a:graphic xmlns:a="http://schemas.openxmlformats.org/drawingml/2006/main">
                        <a:graphicData uri="http://schemas.microsoft.com/office/word/2010/wordprocessingShape">
                          <wps:wsp>
                            <wps:cNvSpPr txBox="1"/>
                            <wps:spPr>
                              <a:xfrm>
                                <a:off x="0" y="0"/>
                                <a:ext cx="3928745" cy="614680"/>
                              </a:xfrm>
                              <a:prstGeom prst="rect">
                                <a:avLst/>
                              </a:prstGeom>
                              <a:solidFill>
                                <a:schemeClr val="lt1"/>
                              </a:solidFill>
                              <a:ln w="6350">
                                <a:solidFill>
                                  <a:prstClr val="black"/>
                                </a:solidFill>
                              </a:ln>
                            </wps:spPr>
                            <wps:txbx>
                              <w:txbxContent>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000" w:firstRow="0" w:lastRow="0" w:firstColumn="0" w:lastColumn="0" w:noHBand="0" w:noVBand="0"/>
                                  </w:tblPr>
                                  <w:tblGrid>
                                    <w:gridCol w:w="5646"/>
                                  </w:tblGrid>
                                  <w:tr w:rsidR="00B8238C" w:rsidRPr="00B8238C" w14:paraId="60FDDFF1" w14:textId="77777777" w:rsidTr="00B8238C">
                                    <w:trPr>
                                      <w:trHeight w:val="741"/>
                                    </w:trPr>
                                    <w:tc>
                                      <w:tcPr>
                                        <w:tcW w:w="5646" w:type="dxa"/>
                                        <w:shd w:val="clear" w:color="auto" w:fill="D9D9D9" w:themeFill="background1" w:themeFillShade="D9"/>
                                      </w:tcPr>
                                      <w:p w14:paraId="08E11027" w14:textId="77777777" w:rsidR="00B8238C" w:rsidRPr="00B8238C" w:rsidRDefault="00B8238C" w:rsidP="00B8238C">
                                        <w:pPr>
                                          <w:spacing w:after="0" w:line="240" w:lineRule="auto"/>
                                          <w:jc w:val="center"/>
                                          <w:rPr>
                                            <w:b/>
                                            <w:bCs/>
                                          </w:rPr>
                                        </w:pPr>
                                        <w:r w:rsidRPr="00B8238C">
                                          <w:rPr>
                                            <w:b/>
                                            <w:bCs/>
                                          </w:rPr>
                                          <w:t>Multidisciplinary Journal of Science Technology Education and Management</w:t>
                                        </w:r>
                                      </w:p>
                                      <w:p w14:paraId="3D356948" w14:textId="67C68B20" w:rsidR="00B8238C" w:rsidRPr="00B8238C" w:rsidRDefault="00B8238C" w:rsidP="00B8238C">
                                        <w:pPr>
                                          <w:spacing w:after="0" w:line="240" w:lineRule="auto"/>
                                          <w:jc w:val="center"/>
                                          <w:rPr>
                                            <w:sz w:val="20"/>
                                            <w:szCs w:val="20"/>
                                          </w:rPr>
                                        </w:pPr>
                                        <w:r w:rsidRPr="00B8238C">
                                          <w:rPr>
                                            <w:sz w:val="20"/>
                                            <w:szCs w:val="20"/>
                                          </w:rPr>
                                          <w:t>Journal homepage: http://www.mjstem.</w:t>
                                        </w:r>
                                        <w:r w:rsidR="00BF0112">
                                          <w:rPr>
                                            <w:sz w:val="20"/>
                                            <w:szCs w:val="20"/>
                                          </w:rPr>
                                          <w:t>org</w:t>
                                        </w:r>
                                      </w:p>
                                      <w:p w14:paraId="4514C313" w14:textId="77777777" w:rsidR="00B8238C" w:rsidRPr="00B8238C" w:rsidRDefault="00B8238C" w:rsidP="00B8238C">
                                        <w:pPr>
                                          <w:rPr>
                                            <w:sz w:val="20"/>
                                            <w:szCs w:val="20"/>
                                          </w:rPr>
                                        </w:pPr>
                                      </w:p>
                                      <w:p w14:paraId="7136DE5F" w14:textId="77777777" w:rsidR="00B8238C" w:rsidRPr="00B8238C" w:rsidRDefault="00B8238C" w:rsidP="00B8238C">
                                        <w:pPr>
                                          <w:spacing w:after="0" w:line="240" w:lineRule="auto"/>
                                          <w:jc w:val="center"/>
                                          <w:rPr>
                                            <w:color w:val="BFBFBF" w:themeColor="background1" w:themeShade="BF"/>
                                          </w:rPr>
                                        </w:pPr>
                                      </w:p>
                                    </w:tc>
                                  </w:tr>
                                </w:tbl>
                                <w:p w14:paraId="1B0AA6FB" w14:textId="77777777" w:rsidR="00B8238C" w:rsidRDefault="00B8238C" w:rsidP="00B8238C">
                                  <w:pPr>
                                    <w:spacing w:after="0" w:line="240" w:lineRule="auto"/>
                                    <w:jc w:val="center"/>
                                  </w:pPr>
                                </w:p>
                                <w:p w14:paraId="78AC5E3F" w14:textId="77777777" w:rsidR="00B8238C" w:rsidRDefault="00B8238C" w:rsidP="00B8238C">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06650" id="_x0000_t202" coordsize="21600,21600" o:spt="202" path="m,l,21600r21600,l21600,xe">
                      <v:stroke joinstyle="miter"/>
                      <v:path gradientshapeok="t" o:connecttype="rect"/>
                    </v:shapetype>
                    <v:shape id="Text Box 2" o:spid="_x0000_s1026" type="#_x0000_t202" style="position:absolute;left:0;text-align:left;margin-left:70.35pt;margin-top:3.45pt;width:309.35pt;height:48.4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" fillcolor="white [3201]" strokeweight=".5pt">
                      <v:textbox>
                        <w:txbxContent>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000" w:firstRow="0" w:lastRow="0" w:firstColumn="0" w:lastColumn="0" w:noHBand="0" w:noVBand="0"/>
                            </w:tblPr>
                            <w:tblGrid>
                              <w:gridCol w:w="5646"/>
                            </w:tblGrid>
                            <w:tr w:rsidR="00B8238C" w:rsidRPr="00B8238C" w14:paraId="60FDDFF1" w14:textId="77777777" w:rsidTr="00B8238C">
                              <w:trPr>
                                <w:trHeight w:val="741"/>
                              </w:trPr>
                              <w:tc>
                                <w:tcPr>
                                  <w:tcW w:w="5646" w:type="dxa"/>
                                  <w:shd w:val="clear" w:color="auto" w:fill="D9D9D9" w:themeFill="background1" w:themeFillShade="D9"/>
                                </w:tcPr>
                                <w:p w14:paraId="08E11027" w14:textId="77777777" w:rsidR="00B8238C" w:rsidRPr="00B8238C" w:rsidRDefault="00B8238C" w:rsidP="00B8238C">
                                  <w:pPr>
                                    <w:spacing w:after="0" w:line="240" w:lineRule="auto"/>
                                    <w:jc w:val="center"/>
                                    <w:rPr>
                                      <w:b/>
                                      <w:bCs/>
                                    </w:rPr>
                                  </w:pPr>
                                  <w:r w:rsidRPr="00B8238C">
                                    <w:rPr>
                                      <w:b/>
                                      <w:bCs/>
                                    </w:rPr>
                                    <w:t>Multidisciplinary Journal of Science Technology Education and Management</w:t>
                                  </w:r>
                                </w:p>
                                <w:p w14:paraId="3D356948" w14:textId="67C68B20" w:rsidR="00B8238C" w:rsidRPr="00B8238C" w:rsidRDefault="00B8238C" w:rsidP="00B8238C">
                                  <w:pPr>
                                    <w:spacing w:after="0" w:line="240" w:lineRule="auto"/>
                                    <w:jc w:val="center"/>
                                    <w:rPr>
                                      <w:sz w:val="20"/>
                                      <w:szCs w:val="20"/>
                                    </w:rPr>
                                  </w:pPr>
                                  <w:r w:rsidRPr="00B8238C">
                                    <w:rPr>
                                      <w:sz w:val="20"/>
                                      <w:szCs w:val="20"/>
                                    </w:rPr>
                                    <w:t>Journal homepage: http://www.mjstem.</w:t>
                                  </w:r>
                                  <w:r w:rsidR="00BF0112">
                                    <w:rPr>
                                      <w:sz w:val="20"/>
                                      <w:szCs w:val="20"/>
                                    </w:rPr>
                                    <w:t>org</w:t>
                                  </w:r>
                                </w:p>
                                <w:p w14:paraId="4514C313" w14:textId="77777777" w:rsidR="00B8238C" w:rsidRPr="00B8238C" w:rsidRDefault="00B8238C" w:rsidP="00B8238C">
                                  <w:pPr>
                                    <w:rPr>
                                      <w:sz w:val="20"/>
                                      <w:szCs w:val="20"/>
                                    </w:rPr>
                                  </w:pPr>
                                </w:p>
                                <w:p w14:paraId="7136DE5F" w14:textId="77777777" w:rsidR="00B8238C" w:rsidRPr="00B8238C" w:rsidRDefault="00B8238C" w:rsidP="00B8238C">
                                  <w:pPr>
                                    <w:spacing w:after="0" w:line="240" w:lineRule="auto"/>
                                    <w:jc w:val="center"/>
                                    <w:rPr>
                                      <w:color w:val="BFBFBF" w:themeColor="background1" w:themeShade="BF"/>
                                    </w:rPr>
                                  </w:pPr>
                                </w:p>
                              </w:tc>
                            </w:tr>
                          </w:tbl>
                          <w:p w14:paraId="1B0AA6FB" w14:textId="77777777" w:rsidR="00B8238C" w:rsidRDefault="00B8238C" w:rsidP="00B8238C">
                            <w:pPr>
                              <w:spacing w:after="0" w:line="240" w:lineRule="auto"/>
                              <w:jc w:val="center"/>
                            </w:pPr>
                          </w:p>
                          <w:p w14:paraId="78AC5E3F" w14:textId="77777777" w:rsidR="00B8238C" w:rsidRDefault="00B8238C" w:rsidP="00B8238C">
                            <w:pPr>
                              <w:spacing w:after="0" w:line="240" w:lineRule="auto"/>
                              <w:jc w:val="center"/>
                            </w:pPr>
                          </w:p>
                        </w:txbxContent>
                      </v:textbox>
                    </v:shape>
                  </w:pict>
                </mc:Fallback>
              </mc:AlternateContent>
            </w:r>
            <w:r w:rsidR="00C507A9">
              <w:rPr>
                <w:noProof/>
                <w:sz w:val="22"/>
                <w:szCs w:val="22"/>
              </w:rPr>
              <w:drawing>
                <wp:anchor distT="0" distB="0" distL="114300" distR="114300" simplePos="0" relativeHeight="251659264" behindDoc="0" locked="0" layoutInCell="1" allowOverlap="1" wp14:anchorId="2FC3A0B1" wp14:editId="54DA7F4C">
                  <wp:simplePos x="0" y="0"/>
                  <wp:positionH relativeFrom="column">
                    <wp:posOffset>4957445</wp:posOffset>
                  </wp:positionH>
                  <wp:positionV relativeFrom="paragraph">
                    <wp:posOffset>82550</wp:posOffset>
                  </wp:positionV>
                  <wp:extent cx="457200" cy="503555"/>
                  <wp:effectExtent l="0" t="0" r="0" b="0"/>
                  <wp:wrapSquare wrapText="bothSides"/>
                  <wp:docPr id="9561968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96895" name="Picture 956196895"/>
                          <pic:cNvPicPr/>
                        </pic:nvPicPr>
                        <pic:blipFill>
                          <a:blip r:embed="rId9">
                            <a:extLst>
                              <a:ext uri="{28A0092B-C50C-407E-A947-70E740481C1C}">
                                <a14:useLocalDpi xmlns:a14="http://schemas.microsoft.com/office/drawing/2010/main" val="0"/>
                              </a:ext>
                            </a:extLst>
                          </a:blip>
                          <a:stretch>
                            <a:fillRect/>
                          </a:stretch>
                        </pic:blipFill>
                        <pic:spPr>
                          <a:xfrm>
                            <a:off x="0" y="0"/>
                            <a:ext cx="457200" cy="503555"/>
                          </a:xfrm>
                          <a:prstGeom prst="rect">
                            <a:avLst/>
                          </a:prstGeom>
                        </pic:spPr>
                      </pic:pic>
                    </a:graphicData>
                  </a:graphic>
                  <wp14:sizeRelH relativeFrom="page">
                    <wp14:pctWidth>0</wp14:pctWidth>
                  </wp14:sizeRelH>
                  <wp14:sizeRelV relativeFrom="page">
                    <wp14:pctHeight>0</wp14:pctHeight>
                  </wp14:sizeRelV>
                </wp:anchor>
              </w:drawing>
            </w:r>
            <w:r w:rsidR="00C507A9">
              <w:t xml:space="preserve">                                                                         </w:t>
            </w:r>
          </w:p>
        </w:tc>
      </w:tr>
    </w:tbl>
    <w:p w14:paraId="7848ABA7" w14:textId="77777777" w:rsidR="00306F1E" w:rsidRDefault="00975AB4" w:rsidP="00306F1E">
      <w:pPr>
        <w:pStyle w:val="Heading1"/>
        <w:spacing w:after="0"/>
        <w:rPr>
          <w:rFonts w:ascii="Times New Roman" w:eastAsia="Times New Roman" w:hAnsi="Times New Roman" w:cs="Times New Roman"/>
        </w:rPr>
      </w:pPr>
      <w:r>
        <w:rPr>
          <w:rFonts w:ascii="Times New Roman" w:eastAsia="Times New Roman" w:hAnsi="Times New Roman" w:cs="Times New Roman"/>
        </w:rPr>
        <w:t xml:space="preserve">Characterization of Clay Deposits in Lafia and Doma, Part of the Middle Benue Trough, North Central Nigeria: </w:t>
      </w:r>
    </w:p>
    <w:p w14:paraId="533F5F2F" w14:textId="73900CD1" w:rsidR="00A016B2" w:rsidRPr="001D5A33" w:rsidRDefault="00975AB4" w:rsidP="00306F1E">
      <w:pPr>
        <w:pStyle w:val="Heading1"/>
      </w:pPr>
      <w:r>
        <w:rPr>
          <w:rFonts w:ascii="Times New Roman" w:eastAsia="Times New Roman" w:hAnsi="Times New Roman" w:cs="Times New Roman"/>
        </w:rPr>
        <w:t>Implications for Industrial Applications</w:t>
      </w:r>
    </w:p>
    <w:p w14:paraId="413363CB" w14:textId="2D29A72F" w:rsidR="001D5A33" w:rsidRPr="00236338" w:rsidRDefault="00BF56A5" w:rsidP="001D5A33">
      <w:pPr>
        <w:jc w:val="left"/>
        <w:rPr>
          <w:color w:val="0000FF"/>
          <w:sz w:val="22"/>
          <w:szCs w:val="22"/>
        </w:rPr>
      </w:pPr>
      <w:r>
        <w:rPr>
          <w:rFonts w:ascii="Times New Roman" w:eastAsia="Times New Roman" w:hAnsi="Times New Roman" w:cs="Times New Roman"/>
        </w:rPr>
        <w:t>Ahmad Ibrahim Aliyu</w:t>
      </w:r>
      <w:r w:rsidR="00EF4AB3">
        <w:rPr>
          <w:rFonts w:ascii="Times New Roman" w:eastAsia="Times New Roman" w:hAnsi="Times New Roman" w:cs="Times New Roman"/>
          <w:vertAlign w:val="superscript"/>
        </w:rPr>
        <w:t>a</w:t>
      </w:r>
      <w:r>
        <w:rPr>
          <w:rFonts w:ascii="Times New Roman" w:eastAsia="Times New Roman" w:hAnsi="Times New Roman" w:cs="Times New Roman"/>
          <w:vertAlign w:val="superscript"/>
        </w:rPr>
        <w:t>*</w:t>
      </w:r>
      <w:r>
        <w:rPr>
          <w:rFonts w:ascii="Times New Roman" w:eastAsia="Times New Roman" w:hAnsi="Times New Roman" w:cs="Times New Roman"/>
        </w:rPr>
        <w:t>,</w:t>
      </w:r>
      <w:r>
        <w:rPr>
          <w:rFonts w:ascii="Times New Roman" w:eastAsia="Times New Roman" w:hAnsi="Times New Roman" w:cs="Times New Roman"/>
          <w:vertAlign w:val="superscript"/>
        </w:rPr>
        <w:t xml:space="preserve"> </w:t>
      </w:r>
      <w:r>
        <w:rPr>
          <w:rFonts w:ascii="Times New Roman" w:eastAsia="Times New Roman" w:hAnsi="Times New Roman" w:cs="Times New Roman"/>
        </w:rPr>
        <w:t>Lucy Ooja Agho</w:t>
      </w:r>
      <w:r w:rsidR="00EF4AB3">
        <w:rPr>
          <w:rFonts w:ascii="Times New Roman" w:eastAsia="Times New Roman" w:hAnsi="Times New Roman" w:cs="Times New Roman"/>
          <w:vertAlign w:val="superscript"/>
        </w:rPr>
        <w:t>a</w:t>
      </w:r>
      <w:r>
        <w:rPr>
          <w:rFonts w:ascii="Times New Roman" w:eastAsia="Times New Roman" w:hAnsi="Times New Roman" w:cs="Times New Roman"/>
        </w:rPr>
        <w:t>, Muhammad Sanusi Idris</w:t>
      </w:r>
      <w:r w:rsidR="00EF4AB3">
        <w:rPr>
          <w:rFonts w:ascii="Times New Roman" w:eastAsia="Times New Roman" w:hAnsi="Times New Roman" w:cs="Times New Roman"/>
          <w:vertAlign w:val="superscript"/>
        </w:rPr>
        <w:t>a</w:t>
      </w:r>
      <w:r>
        <w:rPr>
          <w:rFonts w:ascii="Times New Roman" w:eastAsia="Times New Roman" w:hAnsi="Times New Roman" w:cs="Times New Roman"/>
        </w:rPr>
        <w:t>, Usman Shehu Saeed</w:t>
      </w:r>
      <w:r w:rsidR="00EF4AB3">
        <w:rPr>
          <w:rFonts w:ascii="Times New Roman" w:eastAsia="Times New Roman" w:hAnsi="Times New Roman" w:cs="Times New Roman"/>
          <w:vertAlign w:val="superscript"/>
        </w:rPr>
        <w:t>a</w:t>
      </w:r>
      <w:r>
        <w:rPr>
          <w:rFonts w:ascii="Times New Roman" w:eastAsia="Times New Roman" w:hAnsi="Times New Roman" w:cs="Times New Roman"/>
        </w:rPr>
        <w:t>, Fatima Adamu Idris</w:t>
      </w:r>
      <w:r w:rsidR="00EF4AB3">
        <w:rPr>
          <w:rFonts w:ascii="Times New Roman" w:eastAsia="Times New Roman" w:hAnsi="Times New Roman" w:cs="Times New Roman"/>
          <w:vertAlign w:val="superscript"/>
        </w:rPr>
        <w:t>a</w:t>
      </w:r>
      <w:r>
        <w:rPr>
          <w:rFonts w:ascii="Times New Roman" w:eastAsia="Times New Roman" w:hAnsi="Times New Roman" w:cs="Times New Roman"/>
        </w:rPr>
        <w:t>, Beatrice Imona Amos</w:t>
      </w:r>
      <w:r w:rsidR="00EF4AB3">
        <w:rPr>
          <w:rFonts w:ascii="Times New Roman" w:eastAsia="Times New Roman" w:hAnsi="Times New Roman" w:cs="Times New Roman"/>
          <w:vertAlign w:val="superscript"/>
        </w:rPr>
        <w:t>a</w:t>
      </w:r>
      <w:r>
        <w:rPr>
          <w:rFonts w:ascii="Times New Roman" w:eastAsia="Times New Roman" w:hAnsi="Times New Roman" w:cs="Times New Roman"/>
        </w:rPr>
        <w:t>, Sheriff Abdulrafiu</w:t>
      </w:r>
      <w:r w:rsidR="00EF4AB3">
        <w:rPr>
          <w:rFonts w:ascii="Times New Roman" w:eastAsia="Times New Roman" w:hAnsi="Times New Roman" w:cs="Times New Roman"/>
          <w:vertAlign w:val="superscript"/>
        </w:rPr>
        <w:t>a</w:t>
      </w:r>
    </w:p>
    <w:p w14:paraId="346C3072" w14:textId="3163D6A9" w:rsidR="00BF56A5" w:rsidRDefault="00EF4AB3" w:rsidP="00EF4AB3">
      <w:pPr>
        <w:rPr>
          <w:rFonts w:ascii="Times New Roman" w:eastAsia="Times New Roman" w:hAnsi="Times New Roman" w:cs="Times New Roman"/>
        </w:rPr>
      </w:pPr>
      <w:r>
        <w:rPr>
          <w:rFonts w:ascii="Times New Roman" w:eastAsia="Times New Roman" w:hAnsi="Times New Roman" w:cs="Times New Roman"/>
          <w:vertAlign w:val="superscript"/>
        </w:rPr>
        <w:t>a</w:t>
      </w:r>
      <w:r w:rsidR="00BF56A5">
        <w:rPr>
          <w:rFonts w:ascii="Times New Roman" w:eastAsia="Times New Roman" w:hAnsi="Times New Roman" w:cs="Times New Roman"/>
        </w:rPr>
        <w:t>Department of Geology, Federal University of Lafia, Nasarawa State, Nigeria.</w:t>
      </w:r>
    </w:p>
    <w:p w14:paraId="53E37490" w14:textId="4BFF78C4" w:rsidR="007633F3" w:rsidRDefault="00BF56A5" w:rsidP="00EF4AB3">
      <w:pPr>
        <w:rPr>
          <w:sz w:val="22"/>
          <w:szCs w:val="22"/>
        </w:rPr>
      </w:pPr>
      <w:r>
        <w:rPr>
          <w:rFonts w:ascii="Times New Roman" w:eastAsia="Times New Roman" w:hAnsi="Times New Roman" w:cs="Times New Roman"/>
          <w:vertAlign w:val="superscript"/>
        </w:rPr>
        <w:t>*</w:t>
      </w:r>
      <w:r>
        <w:rPr>
          <w:rFonts w:ascii="Times New Roman" w:eastAsia="Times New Roman" w:hAnsi="Times New Roman" w:cs="Times New Roman"/>
        </w:rPr>
        <w:t>Correspondence: Ahmad Ibrahim Aliyu (</w:t>
      </w:r>
      <w:r w:rsidR="00EF4AB3">
        <w:rPr>
          <w:rFonts w:ascii="Times New Roman" w:eastAsia="Times New Roman" w:hAnsi="Times New Roman" w:cs="Times New Roman"/>
        </w:rPr>
        <w:t>a</w:t>
      </w:r>
      <w:r>
        <w:rPr>
          <w:rFonts w:ascii="Times New Roman" w:eastAsia="Times New Roman" w:hAnsi="Times New Roman" w:cs="Times New Roman"/>
        </w:rPr>
        <w:t>liyu.ibrahim@science.fulafia.edu.ng)</w:t>
      </w:r>
    </w:p>
    <w:p w14:paraId="08841F6A" w14:textId="594A98AD" w:rsidR="007633F3" w:rsidRPr="00C53357" w:rsidRDefault="00193933" w:rsidP="000D3D3D">
      <w:pPr>
        <w:pStyle w:val="Heading2"/>
        <w:numPr>
          <w:ilvl w:val="0"/>
          <w:numId w:val="0"/>
        </w:numPr>
      </w:pPr>
      <w:r w:rsidRPr="00C53357">
        <w:t>Abstract</w:t>
      </w:r>
    </w:p>
    <w:p w14:paraId="5891B788" w14:textId="77777777" w:rsidR="00BF56A5" w:rsidRDefault="00BF56A5" w:rsidP="00306F1E">
      <w:pPr>
        <w:spacing w:before="240"/>
        <w:rPr>
          <w:rFonts w:ascii="Times New Roman" w:eastAsia="Times New Roman" w:hAnsi="Times New Roman" w:cs="Times New Roman"/>
        </w:rPr>
      </w:pPr>
      <w:r>
        <w:rPr>
          <w:rFonts w:ascii="Times New Roman" w:eastAsia="Times New Roman" w:hAnsi="Times New Roman" w:cs="Times New Roman"/>
        </w:rPr>
        <w:t>Clay deposits in the Middle Benue Trough have received limited attention compared to petroleum and metallic mineral resources, despite their industrial relevance. This study presents a comparative mineralogical, geochemical, and geotechnical characterization of clay deposits in Lafia and Doma, North Central Nigeria, to evaluate their industrial potential. Representative samples were analyzed using X-ray fluorescence for major oxides, X-ray diffraction with Rietveld refinement for mineral quantification, and standard geotechnical tests for particle size distribution and plasticity. The clays are mostly kaolinitic, with an average kaolinite content of 42.0 wt% and a quartz content of 38.25 wt%. Major oxide composition is dominated by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with mean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values higher in Lafia samples. Chemical Index of Alteration values above 89 indicate intense weathering of the source materials. Particle size analysis shows dominant fine fractions, and plasticity tests classify Doma clays as moderately plastic and Lafia clays as highly plastic inorganic clays. Comparison with reported industrial compositional ranges suggests that the clays possess favorable characteristics for ceramic products such as tiles, bricks, and stoneware, while Lafia clays compare well with reported compositional requirements for cement raw feed or calcined clay applications. Elevated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contents may limit direct use in high-grade paint applications without further processing. The study provides baseline mineralogical and geochemical data for industrial screening of clay resources in the Middle Benue Trough and establishes a foundation for further performance-based testing.</w:t>
      </w:r>
    </w:p>
    <w:p w14:paraId="182165AD" w14:textId="31D6B262" w:rsidR="00661697" w:rsidRPr="00306F1E" w:rsidRDefault="00BF56A5" w:rsidP="00661697">
      <w:r>
        <w:rPr>
          <w:rFonts w:ascii="Times New Roman" w:eastAsia="Times New Roman" w:hAnsi="Times New Roman" w:cs="Times New Roman"/>
          <w:b/>
          <w:bCs/>
        </w:rPr>
        <w:t xml:space="preserve">Keywords: </w:t>
      </w:r>
      <w:r w:rsidR="00975AB4" w:rsidRPr="00306F1E">
        <w:rPr>
          <w:rFonts w:ascii="Times New Roman" w:eastAsia="Times New Roman" w:hAnsi="Times New Roman" w:cs="Times New Roman"/>
        </w:rPr>
        <w:t>C</w:t>
      </w:r>
      <w:r w:rsidRPr="00306F1E">
        <w:rPr>
          <w:rFonts w:ascii="Times New Roman" w:eastAsia="Times New Roman" w:hAnsi="Times New Roman" w:cs="Times New Roman"/>
        </w:rPr>
        <w:t xml:space="preserve">lay deposits, </w:t>
      </w:r>
      <w:r w:rsidR="00975AB4" w:rsidRPr="00306F1E">
        <w:rPr>
          <w:rFonts w:ascii="Times New Roman" w:eastAsia="Times New Roman" w:hAnsi="Times New Roman" w:cs="Times New Roman"/>
        </w:rPr>
        <w:t>G</w:t>
      </w:r>
      <w:r w:rsidRPr="00306F1E">
        <w:rPr>
          <w:rFonts w:ascii="Times New Roman" w:eastAsia="Times New Roman" w:hAnsi="Times New Roman" w:cs="Times New Roman"/>
        </w:rPr>
        <w:t xml:space="preserve">eochemical, </w:t>
      </w:r>
      <w:r w:rsidR="00975AB4" w:rsidRPr="00306F1E">
        <w:rPr>
          <w:rFonts w:ascii="Times New Roman" w:eastAsia="Times New Roman" w:hAnsi="Times New Roman" w:cs="Times New Roman"/>
        </w:rPr>
        <w:t>M</w:t>
      </w:r>
      <w:r w:rsidRPr="00306F1E">
        <w:rPr>
          <w:rFonts w:ascii="Times New Roman" w:eastAsia="Times New Roman" w:hAnsi="Times New Roman" w:cs="Times New Roman"/>
        </w:rPr>
        <w:t xml:space="preserve">ineralogical, </w:t>
      </w:r>
      <w:r w:rsidR="00975AB4" w:rsidRPr="00306F1E">
        <w:rPr>
          <w:rFonts w:ascii="Times New Roman" w:eastAsia="Times New Roman" w:hAnsi="Times New Roman" w:cs="Times New Roman"/>
        </w:rPr>
        <w:t>I</w:t>
      </w:r>
      <w:r w:rsidRPr="00306F1E">
        <w:rPr>
          <w:rFonts w:ascii="Times New Roman" w:eastAsia="Times New Roman" w:hAnsi="Times New Roman" w:cs="Times New Roman"/>
        </w:rPr>
        <w:t xml:space="preserve">ndustrial applications, </w:t>
      </w:r>
      <w:r w:rsidR="00975AB4" w:rsidRPr="00306F1E">
        <w:rPr>
          <w:rFonts w:ascii="Times New Roman" w:eastAsia="Times New Roman" w:hAnsi="Times New Roman" w:cs="Times New Roman"/>
        </w:rPr>
        <w:t>X</w:t>
      </w:r>
      <w:r w:rsidRPr="00306F1E">
        <w:rPr>
          <w:rFonts w:ascii="Times New Roman" w:eastAsia="Times New Roman" w:hAnsi="Times New Roman" w:cs="Times New Roman"/>
        </w:rPr>
        <w:t xml:space="preserve">-ray diffraction, </w:t>
      </w:r>
      <w:r w:rsidR="00975AB4" w:rsidRPr="00306F1E">
        <w:rPr>
          <w:rFonts w:ascii="Times New Roman" w:eastAsia="Times New Roman" w:hAnsi="Times New Roman" w:cs="Times New Roman"/>
        </w:rPr>
        <w:t>X</w:t>
      </w:r>
      <w:r w:rsidRPr="00306F1E">
        <w:rPr>
          <w:rFonts w:ascii="Times New Roman" w:eastAsia="Times New Roman" w:hAnsi="Times New Roman" w:cs="Times New Roman"/>
        </w:rPr>
        <w:t>-ray fluorescence.</w:t>
      </w:r>
    </w:p>
    <w:p w14:paraId="3252D5B5" w14:textId="77777777" w:rsidR="00975AB4" w:rsidRDefault="00975AB4" w:rsidP="00661697"/>
    <w:p w14:paraId="414F8F45" w14:textId="77777777" w:rsidR="00975AB4" w:rsidRDefault="00975AB4" w:rsidP="00661697"/>
    <w:p w14:paraId="5B636C6E" w14:textId="0EFCED1F" w:rsidR="00452A9C" w:rsidRPr="000D3D3D" w:rsidRDefault="00452A9C" w:rsidP="00452A9C">
      <w:pPr>
        <w:pStyle w:val="Heading2"/>
      </w:pPr>
      <w:r w:rsidRPr="000D3D3D">
        <w:lastRenderedPageBreak/>
        <w:t xml:space="preserve">Introduction </w:t>
      </w:r>
    </w:p>
    <w:p w14:paraId="63F06CE2"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Clay deposits are widely distributed across Nigeria and occur both as residual products of basement rock weathering and as transported sediments within sedimentary basins (Onyekuru et al., 2018; Adeola et al., 2020; Bolarinwa et al., 2021). In the Middle Benue Trough, clay deposits form part of the sedimentary succession of the Lafia Formation, where favorable depositional and weathering conditions supported their development.</w:t>
      </w:r>
    </w:p>
    <w:p w14:paraId="198E191C" w14:textId="2786581B" w:rsidR="00BF56A5" w:rsidRDefault="00BF56A5" w:rsidP="00BF56A5">
      <w:pPr>
        <w:spacing w:after="0" w:line="360" w:lineRule="auto"/>
        <w:rPr>
          <w:rFonts w:ascii="Times New Roman" w:eastAsia="Times New Roman" w:hAnsi="Times New Roman" w:cs="Times New Roman"/>
        </w:rPr>
      </w:pPr>
      <w:r w:rsidRPr="004C4C1E">
        <w:rPr>
          <w:rFonts w:ascii="Times New Roman" w:eastAsia="Times New Roman" w:hAnsi="Times New Roman" w:cs="Times New Roman"/>
        </w:rPr>
        <w:t xml:space="preserve">Geologically, </w:t>
      </w:r>
      <w:r>
        <w:rPr>
          <w:rFonts w:ascii="Times New Roman" w:eastAsia="Times New Roman" w:hAnsi="Times New Roman" w:cs="Times New Roman"/>
        </w:rPr>
        <w:t>Lafia and Doma</w:t>
      </w:r>
      <w:r w:rsidRPr="004C4C1E">
        <w:rPr>
          <w:rFonts w:ascii="Times New Roman" w:eastAsia="Times New Roman" w:hAnsi="Times New Roman" w:cs="Times New Roman"/>
        </w:rPr>
        <w:t xml:space="preserve"> lies within the Middle Benue Trough, which contains a thick succession of marine and continental sedimentary units, including the Albian Asu River Group and the Cenomanian Awgu Formation</w:t>
      </w:r>
      <w:r w:rsidR="00C87DE1">
        <w:rPr>
          <w:rFonts w:ascii="Times New Roman" w:eastAsia="Times New Roman" w:hAnsi="Times New Roman" w:cs="Times New Roman"/>
        </w:rPr>
        <w:t xml:space="preserve"> </w:t>
      </w:r>
      <w:r w:rsidR="00C87DE1">
        <w:rPr>
          <w:rFonts w:ascii="Times New Roman" w:eastAsia="Times New Roman" w:hAnsi="Times New Roman" w:cs="Times New Roman"/>
        </w:rPr>
        <w:fldChar w:fldCharType="begin" w:fldLock="1"/>
      </w:r>
      <w:r w:rsidR="00C87DE1">
        <w:rPr>
          <w:rFonts w:ascii="Times New Roman" w:eastAsia="Times New Roman" w:hAnsi="Times New Roman" w:cs="Times New Roman"/>
        </w:rPr>
        <w:instrText>ADDIN CSL_CITATION {"citationItems":[{"id":"ITEM-1","itemData":{"DOI":"10.1016/j.jafrearsci.2011.11.008","ISSN":"1464343X","abstract":"The Nigerian Benue Trough is an intracratonic rift structure which evolution is related to the Early Cretaceous opening of the South Atlantic Ocean and the Gulf of Guinea. Previous hydrocarbon potential assessments of the successions in the trough revealed a number of organic rich intervals capable of yielding significant quantities of hydrocarbons in the Cretaceous sections. Stratigraphic continuity of these intervals suggests their potentials for hydrocarbons if thermally mature and both oil and gas can be generated.The present study have expanded on some previously reported source rock data of the Cretaceous formations in the Benue Trough by detailed mapping of the stratigraphic intervals with source rock potentials on the basis of their structural setting, lithologic characteristics, and depositional environments. Further characterization of the organic matter within the Cenomanian to Coniacian on one hand and the Campanian to Maastrichtian intervals were carried out to determine the geochemical character of the organic rich zones, their maturity and effectiveness to generate and expel hydrocarbons.In the Lower Benue Trough, mature facies of the Cenomanian to Turonian Eze-Aku Formation with a predominance of Types II and III kerogen, the Turonian to Coniacian Type III dominated Awgu Formation and the Type III dominated Lower Maastrichtian sub-bituminous coals of the Mamu Formation have proven potentials as oil and gas source rocks. In the Middle Benue Basin, the preserved mature intervals of the Awgu Formation shales and coals are good gas source rocks with some oil prone units in view of the predominating Type III kerogen. Targets for hydrocarbons generated by these source rock intervals should focus on the non-emergent Cretaceous reservoirs within the pre-Santonian successions whereas, the mature equivalents of the sub-bituminous coal facies would generate and charge both Upper Cretaceous reservoirs and possibly the sub-Niger Delta successions in the sub-surface. © 2011 Elsevier Ltd.","author":[{"dropping-particle":"","family":"Akande","given":"Samuel O.","non-dropping-particle":"","parse-names":false,"suffix":""},{"dropping-particle":"","family":"Egenhoff","given":"Sven O.","non-dropping-particle":"","parse-names":false,"suffix":""},{"dropping-particle":"","family":"Obaje","given":"Nuhu G.","non-dropping-particle":"","parse-names":false,"suffix":""},{"dropping-particle":"","family":"Ojo","given":"Olusola J.","non-dropping-particle":"","parse-names":false,"suffix":""},{"dropping-particle":"","family":"Adekeye","given":"Olabisi A.","non-dropping-particle":"","parse-names":false,"suffix":""},{"dropping-particle":"","family":"Erdtmann","given":"Bernd D.","non-dropping-particle":"","parse-names":false,"suffix":""}],"container-title":"Journal of African Earth Sciences","id":"ITEM-1","issued":{"date-parts":[["2012"]]},"page":"34-47","title":"Hydrocarbon potential of Cretaceous sediments in the Lower and Middle Benue Trough, Nigeria: Insights from new source rock facies evaluation","type":"article-journal","volume":"64"},"uris":["http://www.mendeley.com/documents/?uuid=9d67dd92-d572-4069-9d90-fbaeb594773e"]}],"mendeley":{"formattedCitation":"(Akande et al., 2012)","plainTextFormattedCitation":"(Akande et al., 2012)"},"properties":{"noteIndex":0},"schema":"https://github.com/citation-style-language/schema/raw/master/csl-citation.json"}</w:instrText>
      </w:r>
      <w:r w:rsidR="00C87DE1">
        <w:rPr>
          <w:rFonts w:ascii="Times New Roman" w:eastAsia="Times New Roman" w:hAnsi="Times New Roman" w:cs="Times New Roman"/>
        </w:rPr>
        <w:fldChar w:fldCharType="separate"/>
      </w:r>
      <w:r w:rsidR="00C87DE1" w:rsidRPr="00C87DE1">
        <w:rPr>
          <w:rFonts w:ascii="Times New Roman" w:eastAsia="Times New Roman" w:hAnsi="Times New Roman" w:cs="Times New Roman"/>
          <w:noProof/>
        </w:rPr>
        <w:t>(Akande et al., 2012)</w:t>
      </w:r>
      <w:r w:rsidR="00C87DE1">
        <w:rPr>
          <w:rFonts w:ascii="Times New Roman" w:eastAsia="Times New Roman" w:hAnsi="Times New Roman" w:cs="Times New Roman"/>
        </w:rPr>
        <w:fldChar w:fldCharType="end"/>
      </w:r>
      <w:r w:rsidR="00C87DE1">
        <w:rPr>
          <w:rFonts w:ascii="Times New Roman" w:eastAsia="Times New Roman" w:hAnsi="Times New Roman" w:cs="Times New Roman"/>
        </w:rPr>
        <w:t xml:space="preserve">. </w:t>
      </w:r>
      <w:r w:rsidRPr="004C4C1E">
        <w:rPr>
          <w:rFonts w:ascii="Times New Roman" w:eastAsia="Times New Roman" w:hAnsi="Times New Roman" w:cs="Times New Roman"/>
        </w:rPr>
        <w:t xml:space="preserve"> Figures 1 and 2</w:t>
      </w:r>
      <w:r w:rsidR="00C87DE1">
        <w:rPr>
          <w:rFonts w:ascii="Times New Roman" w:eastAsia="Times New Roman" w:hAnsi="Times New Roman" w:cs="Times New Roman"/>
        </w:rPr>
        <w:t xml:space="preserve"> show the location of the Middle Benue Trough and the stratigraphic succession respectively</w:t>
      </w:r>
      <w:r w:rsidRPr="004C4C1E">
        <w:rPr>
          <w:rFonts w:ascii="Times New Roman" w:eastAsia="Times New Roman" w:hAnsi="Times New Roman" w:cs="Times New Roman"/>
        </w:rPr>
        <w:t>. The target clay deposits are hosted within the Campanian–Maastrichtian Lafia Formation, which consists of interbedded sandstone, siltstone, and clay horizons deposited in fluvial to continental environments</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{"citationItems":[{"id":"ITEM-1","itemData":{"author":[{"dropping-particle":"","family":"Patrick","given":"N O","non-dropping-particle":"","parse-names":false,"suffix":""},{"dropping-particle":"","family":"Fadele","given":"S I","non-dropping-particle":"","parse-names":false,"suffix":""},{"dropping-particle":"","family":"Adegoke","given":"I","non-dropping-particle":"","parse-names":false,"suffix":""}],"container-title":"The Pacific Journal of Science and Technology","id":"ITEM-1","issue":"1","issued":{"date-parts":[["2013"]]},"page":"557-570","title":"Stratigraphic report of the Middle Benue trough, Nigeria: Insights from petrographic and structural evaluation of Abuni and environs part of Late Albian--Cenomanian Awe and Keana formations","type":"article-journal","volume":"14"},"uris":["http://www.mendeley.com/documents/?uuid=86ae6cf3-84ab-4f45-86d3-84af4838d385"]}],"mendeley":{"formattedCitation":"(Patrick et al., 2013)","plainTextFormattedCitation":"(Patrick et al., 2013)","previouslyFormattedCitation":"(Patrick et al., 2013)"},"properties":{"noteIndex":0},"schema":"https://github.com/citation-style-language/schema/raw/master/csl-citation.json"}</w:instrText>
      </w:r>
      <w:r>
        <w:rPr>
          <w:rFonts w:ascii="Times New Roman" w:eastAsia="Times New Roman" w:hAnsi="Times New Roman" w:cs="Times New Roman"/>
        </w:rPr>
        <w:fldChar w:fldCharType="separate"/>
      </w:r>
      <w:r w:rsidRPr="006139A4">
        <w:rPr>
          <w:rFonts w:ascii="Times New Roman" w:eastAsia="Times New Roman" w:hAnsi="Times New Roman" w:cs="Times New Roman"/>
          <w:noProof/>
        </w:rPr>
        <w:t>(Patrick et al., 2013)</w:t>
      </w:r>
      <w:r>
        <w:rPr>
          <w:rFonts w:ascii="Times New Roman" w:eastAsia="Times New Roman" w:hAnsi="Times New Roman" w:cs="Times New Roman"/>
        </w:rPr>
        <w:fldChar w:fldCharType="end"/>
      </w:r>
      <w:r w:rsidRPr="00B460D9">
        <w:rPr>
          <w:rFonts w:ascii="Times New Roman" w:eastAsia="Times New Roman" w:hAnsi="Times New Roman" w:cs="Times New Roman"/>
        </w:rPr>
        <w:t>.</w:t>
      </w:r>
    </w:p>
    <w:p w14:paraId="7B65F613"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Clays are important industrial raw materials due to their mineralogical composition, particle size distribution, plasticity, and chemical characteristics. The global kaolin market was valued at approximately 4.41 billion US dollars before 2022 and is projected to grow steadily due to increasing demand from ceramics, cement, paints, refractories, and environmental applications (Grant View Research, 2019–2020; Buyondo et al., 2022). Their industrial suitability depends primarily on mineralogical composition, oxide chemistry, and geotechnical behavior (Singh, 2022), which influence the performance and quality of kaolin in various applications such as ceramics, cement, and paints, ultimately affecting the overall market growth and demand for kaolin in these sectors, particularly as industries seek higher-quality materials to meet evolving standards and consumer preferences.</w:t>
      </w:r>
    </w:p>
    <w:p w14:paraId="119E2BDE"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Kaolinite-rich clays are widely used in ceramic products such as tiles, bricks, and pottery due to their plasticity and firing behavior. In the cement industry, clays contribute silica, alumina, and iron to kiln feed and may serve as supplementary cementitious materials when properly processed (Mousavi et al., 2021; Cheah et al., 2025). In paints and coatings, clay minerals function as fillers and stabilizers, though their performance is strongly influenced by iron oxide and titanium contents (Buyondo et al., 2022; Igwe et al., 2016). These applications require systematic mineralogical and chemical characterization before industrial adoption to ensure that the clay minerals meet the necessary performance standards and compatibility with other components in the formulations.</w:t>
      </w:r>
    </w:p>
    <w:p w14:paraId="7C05ABF3"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lastRenderedPageBreak/>
        <w:t>Despite the economic importance of industrial minerals, most geological investigations in the Middle Benue Trough have focused on hydrocarbon potential and metallic mineralization. Studies addressing clay deposits in the Lafia Formation are limited in scope and spatial coverage. Obrike et al. (2019) examined clay members in Shabu and Doma; however, the comparative assessment of Lafia and Doma clay deposits remains limited, particularly with integrated mineralogical, geochemical, and geotechnical evaluation.</w:t>
      </w:r>
    </w:p>
    <w:p w14:paraId="00A29459" w14:textId="3A5B40B1"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Given increasing industrial development within Nasarawa State and the need for locally sourced raw materials, a systematic assessment of these clay deposits is necessary. This study provides a comparative mineralogical, geochemical, and geotechnical analysis of clay deposits in Lafia and Doma within the Middle Benue Trough. The objective is to evaluate their industrial potential based on compositional screening and established industrial reference ranges, thereby providing baseline data for future performance-based testing and resource development. </w:t>
      </w:r>
      <w:r w:rsidRPr="0008502E">
        <w:rPr>
          <w:rFonts w:ascii="Times New Roman" w:eastAsia="Times New Roman" w:hAnsi="Times New Roman" w:cs="Times New Roman"/>
        </w:rPr>
        <w:t>While the geological context is established through field mapping, the analytical focus of this study remains strictly on the mineralogical, geochemical, and geotechnical characterization of the clay horizons to determine their</w:t>
      </w:r>
      <w:r>
        <w:rPr>
          <w:rFonts w:ascii="Times New Roman" w:eastAsia="Times New Roman" w:hAnsi="Times New Roman" w:cs="Times New Roman"/>
        </w:rPr>
        <w:t xml:space="preserve"> preliminary</w:t>
      </w:r>
      <w:r w:rsidRPr="0008502E">
        <w:rPr>
          <w:rFonts w:ascii="Times New Roman" w:eastAsia="Times New Roman" w:hAnsi="Times New Roman" w:cs="Times New Roman"/>
        </w:rPr>
        <w:t xml:space="preserve"> industrial suitability. Detailed sedimentological facies modeling and architectural stratigraphic logging are beyond the scope of this performance-based assessment.</w:t>
      </w:r>
      <w:r>
        <w:rPr>
          <w:rFonts w:ascii="Times New Roman" w:eastAsia="Times New Roman" w:hAnsi="Times New Roman" w:cs="Times New Roman"/>
        </w:rPr>
        <w:t xml:space="preserve"> </w:t>
      </w:r>
      <w:bookmarkStart w:id="0" w:name="_heading=h.yxpmphoe5rez" w:colFirst="0" w:colLast="0"/>
      <w:bookmarkEnd w:id="0"/>
    </w:p>
    <w:p w14:paraId="7821D29A" w14:textId="77777777" w:rsidR="00BF56A5" w:rsidRDefault="00BF56A5" w:rsidP="00BF56A5">
      <w:pPr>
        <w:spacing w:after="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EF67AE1" wp14:editId="722806DD">
            <wp:extent cx="3557016" cy="2752344"/>
            <wp:effectExtent l="0" t="0" r="5715" b="0"/>
            <wp:docPr id="1684341414" name="image14.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map of the world&#10;&#10;Description automatically generated"/>
                    <pic:cNvPicPr preferRelativeResize="0"/>
                  </pic:nvPicPr>
                  <pic:blipFill>
                    <a:blip r:embed="rId10"/>
                    <a:srcRect/>
                    <a:stretch>
                      <a:fillRect/>
                    </a:stretch>
                  </pic:blipFill>
                  <pic:spPr>
                    <a:xfrm>
                      <a:off x="0" y="0"/>
                      <a:ext cx="3557016" cy="2752344"/>
                    </a:xfrm>
                    <a:prstGeom prst="rect">
                      <a:avLst/>
                    </a:prstGeom>
                    <a:ln/>
                  </pic:spPr>
                </pic:pic>
              </a:graphicData>
            </a:graphic>
          </wp:inline>
        </w:drawing>
      </w:r>
    </w:p>
    <w:p w14:paraId="475C7BF1" w14:textId="661949E7" w:rsidR="00BF56A5" w:rsidRDefault="00BF56A5" w:rsidP="00541F07">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1. Geological Map of the Benue Trough and its Environs (after Zaborski, 1998). LBT - Lower Benue Trough; MBT - Middle Benue Trough; UBT - Upper Benue Trough. 1. Precambrian Basement Complex. 2. Jurassic Younger Granite Complexes. 3. Cretaceous sediments. 4. Tertiary sediments. 5. Cenozoic-Recent volcanics. 6. Middle Benue Trough</w:t>
      </w:r>
    </w:p>
    <w:p w14:paraId="420BB1B4" w14:textId="77777777" w:rsidR="00BF56A5" w:rsidRDefault="00BF56A5" w:rsidP="00BF56A5">
      <w:pPr>
        <w:spacing w:after="0"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3286B23" wp14:editId="6859F883">
            <wp:extent cx="4151376" cy="4361688"/>
            <wp:effectExtent l="0" t="0" r="1905" b="1270"/>
            <wp:docPr id="1684341415" name="image6.png" descr="A chart of geological featur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chart of geological features&#10;&#10;Description automatically generated with medium confidence"/>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rcRect/>
                    <a:stretch>
                      <a:fillRect/>
                    </a:stretch>
                  </pic:blipFill>
                  <pic:spPr>
                    <a:xfrm>
                      <a:off x="0" y="0"/>
                      <a:ext cx="4151376" cy="4361688"/>
                    </a:xfrm>
                    <a:prstGeom prst="rect">
                      <a:avLst/>
                    </a:prstGeom>
                    <a:ln/>
                  </pic:spPr>
                </pic:pic>
              </a:graphicData>
            </a:graphic>
          </wp:inline>
        </w:drawing>
      </w:r>
    </w:p>
    <w:p w14:paraId="4B9FF6C1" w14:textId="5F21A4A6" w:rsidR="00B8238C" w:rsidRPr="00661697" w:rsidRDefault="00BF56A5" w:rsidP="00661697">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2. Stratigraphic successions of the Middle Benue Trough (Obaje, 2009)</w:t>
      </w:r>
    </w:p>
    <w:p w14:paraId="7B2D4D13" w14:textId="77777777" w:rsidR="00452A9C" w:rsidRDefault="00452A9C" w:rsidP="00452A9C">
      <w:pPr>
        <w:pStyle w:val="Heading2"/>
      </w:pPr>
      <w:r>
        <w:t>Methodology</w:t>
      </w:r>
    </w:p>
    <w:p w14:paraId="13E6BC57" w14:textId="6778B19F" w:rsidR="00541F07"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This study employed field geological mapping and sampling, X-ray fluorescence (XRF) for analysis of major oxide compositions, X-ray diffractometry (XRD) for mineralogical analysis, the hydrometer test for particle size distributions, and the Atterberg limit test for determination of plasticity.</w:t>
      </w:r>
    </w:p>
    <w:p w14:paraId="73743315" w14:textId="07ECBFAD" w:rsidR="00BF56A5" w:rsidRDefault="00BF56A5" w:rsidP="00BF56A5">
      <w:pPr>
        <w:pStyle w:val="Heading3"/>
        <w:spacing w:after="0"/>
        <w:rPr>
          <w:rFonts w:ascii="Times New Roman" w:eastAsia="Times New Roman" w:hAnsi="Times New Roman" w:cs="Times New Roman"/>
          <w:b w:val="0"/>
          <w:bCs w:val="0"/>
          <w:color w:val="000000"/>
        </w:rPr>
      </w:pPr>
      <w:r>
        <w:rPr>
          <w:rFonts w:ascii="Times New Roman" w:eastAsia="Times New Roman" w:hAnsi="Times New Roman" w:cs="Times New Roman"/>
          <w:color w:val="000000"/>
        </w:rPr>
        <w:t>The Study Area</w:t>
      </w:r>
    </w:p>
    <w:p w14:paraId="4BD8A8C9" w14:textId="66A62BBF" w:rsidR="00BF56A5" w:rsidRDefault="00BF56A5" w:rsidP="00BF56A5">
      <w:pPr>
        <w:spacing w:after="0" w:line="360" w:lineRule="auto"/>
        <w:rPr>
          <w:rFonts w:ascii="Times New Roman" w:eastAsia="Times New Roman" w:hAnsi="Times New Roman" w:cs="Times New Roman"/>
        </w:rPr>
      </w:pPr>
      <w:bookmarkStart w:id="1" w:name="_heading=h.msansqo1i6yo" w:colFirst="0" w:colLast="0"/>
      <w:bookmarkEnd w:id="1"/>
      <w:r>
        <w:rPr>
          <w:rFonts w:ascii="Times New Roman" w:eastAsia="Times New Roman" w:hAnsi="Times New Roman" w:cs="Times New Roman"/>
        </w:rPr>
        <w:t xml:space="preserve">This study covers areas around Lafia and Doma, situated within the Middle Benue Trough in North Central Nigeria. It covers about 250 square kilometers and is located within coordinates of latitude of 08° 21ʹ 00ʺN to 08° 30ʹ 00ʺN and longitude 8° 21ʹ 00ʺE to 8° 36ʹ 00ʺE. It is covered by rock units of the Awgu Formation (Cenomanian) and Lafia Formation (Maastrichtian) located within the Middle Benue Trough of North Central Nigeria (Figure 3). </w:t>
      </w:r>
      <w:r w:rsidRPr="00127950">
        <w:rPr>
          <w:rFonts w:ascii="Times New Roman" w:eastAsia="Times New Roman" w:hAnsi="Times New Roman" w:cs="Times New Roman"/>
        </w:rPr>
        <w:t xml:space="preserve">The defined study area represents the spatial extent of observable clay occurrences </w:t>
      </w:r>
      <w:r>
        <w:rPr>
          <w:rFonts w:ascii="Times New Roman" w:eastAsia="Times New Roman" w:hAnsi="Times New Roman" w:cs="Times New Roman"/>
        </w:rPr>
        <w:t>around</w:t>
      </w:r>
      <w:r w:rsidRPr="0017438E">
        <w:rPr>
          <w:rFonts w:ascii="Times New Roman" w:eastAsia="Times New Roman" w:hAnsi="Times New Roman" w:cs="Times New Roman"/>
        </w:rPr>
        <w:t xml:space="preserve"> </w:t>
      </w:r>
      <w:r>
        <w:rPr>
          <w:rFonts w:ascii="Times New Roman" w:eastAsia="Times New Roman" w:hAnsi="Times New Roman" w:cs="Times New Roman"/>
        </w:rPr>
        <w:t>the Lafia</w:t>
      </w:r>
      <w:r w:rsidRPr="0017438E">
        <w:rPr>
          <w:rFonts w:ascii="Times New Roman" w:eastAsia="Times New Roman" w:hAnsi="Times New Roman" w:cs="Times New Roman"/>
        </w:rPr>
        <w:t xml:space="preserve"> and Doma areas</w:t>
      </w:r>
      <w:r>
        <w:rPr>
          <w:rFonts w:ascii="Times New Roman" w:eastAsia="Times New Roman" w:hAnsi="Times New Roman" w:cs="Times New Roman"/>
        </w:rPr>
        <w:t xml:space="preserve">, </w:t>
      </w:r>
      <w:r w:rsidRPr="00127950">
        <w:rPr>
          <w:rFonts w:ascii="Times New Roman" w:eastAsia="Times New Roman" w:hAnsi="Times New Roman" w:cs="Times New Roman"/>
        </w:rPr>
        <w:t xml:space="preserve">rather than a uniformly sampled surface. Sampling density is controlled by the distribution of natural exposures </w:t>
      </w:r>
      <w:r w:rsidRPr="00127950">
        <w:rPr>
          <w:rFonts w:ascii="Times New Roman" w:eastAsia="Times New Roman" w:hAnsi="Times New Roman" w:cs="Times New Roman"/>
        </w:rPr>
        <w:lastRenderedPageBreak/>
        <w:t>(e</w:t>
      </w:r>
      <w:r w:rsidR="005B77DE">
        <w:rPr>
          <w:rFonts w:ascii="Times New Roman" w:eastAsia="Times New Roman" w:hAnsi="Times New Roman" w:cs="Times New Roman"/>
        </w:rPr>
        <w:t>xample</w:t>
      </w:r>
      <w:r w:rsidRPr="00127950">
        <w:rPr>
          <w:rFonts w:ascii="Times New Roman" w:eastAsia="Times New Roman" w:hAnsi="Times New Roman" w:cs="Times New Roman"/>
        </w:rPr>
        <w:t>, gullies, river channels, and road cuts), which is typical of reconnaissance-level geological investigations in sedimentary terrains</w:t>
      </w:r>
      <w:r>
        <w:rPr>
          <w:rFonts w:ascii="Times New Roman" w:eastAsia="Times New Roman" w:hAnsi="Times New Roman" w:cs="Times New Roman"/>
        </w:rPr>
        <w:t xml:space="preserve">. </w:t>
      </w:r>
    </w:p>
    <w:p w14:paraId="51D0001C"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The litho-section study of the Awgu Formation in the study area reveals a sequence of coal seams, carbonaceous shale, sandstone, clay, and siltstone. The Lafia Formation is composed of layers of sandstone, siltstone, clay, and ferruginous sandstone. Obrike et al. (2019) reported the thickness of the Lafia Formation around Lafia town to range from 10 m to 150 m, and it becomes thicker southward toward Doma town.</w:t>
      </w:r>
    </w:p>
    <w:p w14:paraId="33A10AE3"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The clay occurs as a layer in the Lafia Formation, forming a stratigraphic sequence with sandstone and siltstones (Figure 4a) and ranging in thickness from 10 cm to 5 m within the section. Good exposures were seen along the gullies. The clay varies in color: creamy white (Figure 4b), light gray (Figure 4c), and mottled purple (Figure 4d) with a content of sand and silt particles.</w:t>
      </w:r>
    </w:p>
    <w:p w14:paraId="442B82B4" w14:textId="77777777" w:rsidR="00BF56A5" w:rsidRDefault="00BF56A5" w:rsidP="00BF56A5">
      <w:pPr>
        <w:spacing w:after="0" w:line="360" w:lineRule="auto"/>
        <w:jc w:val="center"/>
        <w:rPr>
          <w:rFonts w:ascii="Times New Roman" w:eastAsia="Times New Roman" w:hAnsi="Times New Roman" w:cs="Times New Roman"/>
        </w:rPr>
      </w:pPr>
      <w:r>
        <w:rPr>
          <w:noProof/>
        </w:rPr>
        <w:drawing>
          <wp:inline distT="0" distB="0" distL="0" distR="0" wp14:anchorId="7CF3A7DC" wp14:editId="2A7B9065">
            <wp:extent cx="5943600" cy="3609975"/>
            <wp:effectExtent l="0" t="0" r="0" b="0"/>
            <wp:docPr id="16843414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
                    <a:srcRect/>
                    <a:stretch>
                      <a:fillRect/>
                    </a:stretch>
                  </pic:blipFill>
                  <pic:spPr>
                    <a:xfrm>
                      <a:off x="0" y="0"/>
                      <a:ext cx="5943600" cy="3609975"/>
                    </a:xfrm>
                    <a:prstGeom prst="rect">
                      <a:avLst/>
                    </a:prstGeom>
                    <a:ln/>
                  </pic:spPr>
                </pic:pic>
              </a:graphicData>
            </a:graphic>
          </wp:inline>
        </w:drawing>
      </w:r>
      <w:r>
        <w:rPr>
          <w:rFonts w:ascii="Times New Roman" w:eastAsia="Times New Roman" w:hAnsi="Times New Roman" w:cs="Times New Roman"/>
        </w:rPr>
        <w:t>Figure 3. A lithological map of the study area shows the distribution of rock units.</w:t>
      </w:r>
    </w:p>
    <w:p w14:paraId="02B51C9F" w14:textId="7E31EF17" w:rsidR="00BF56A5" w:rsidRDefault="00BF56A5" w:rsidP="003E5EF9">
      <w:pPr>
        <w:spacing w:after="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    </w:t>
      </w:r>
      <w:r>
        <w:rPr>
          <w:rFonts w:ascii="Times New Roman" w:eastAsia="Times New Roman" w:hAnsi="Times New Roman" w:cs="Times New Roman"/>
          <w:noProof/>
        </w:rPr>
        <w:drawing>
          <wp:inline distT="0" distB="0" distL="0" distR="0" wp14:anchorId="615F34B4" wp14:editId="5B8014F2">
            <wp:extent cx="5230368" cy="3977640"/>
            <wp:effectExtent l="0" t="0" r="8890" b="3810"/>
            <wp:docPr id="1684341417" name="image11.png" descr="A person sitting on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erson sitting on a rock&#10;&#10;Description automatically generated"/>
                    <pic:cNvPicPr preferRelativeResize="0"/>
                  </pic:nvPicPr>
                  <pic:blipFill>
                    <a:blip r:embed="rId14"/>
                    <a:srcRect/>
                    <a:stretch>
                      <a:fillRect/>
                    </a:stretch>
                  </pic:blipFill>
                  <pic:spPr>
                    <a:xfrm>
                      <a:off x="0" y="0"/>
                      <a:ext cx="5230368" cy="3977640"/>
                    </a:xfrm>
                    <a:prstGeom prst="rect">
                      <a:avLst/>
                    </a:prstGeom>
                    <a:ln/>
                  </pic:spPr>
                </pic:pic>
              </a:graphicData>
            </a:graphic>
          </wp:inline>
        </w:drawing>
      </w:r>
    </w:p>
    <w:p w14:paraId="7917B39C" w14:textId="77777777" w:rsidR="00BF56A5" w:rsidRDefault="00BF56A5" w:rsidP="00BF56A5">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4. The different exposures of clay in the study area. (a) clay interbedded with sandstone (b) creamy white clay (c) light grey clay (d) mottled purple clay</w:t>
      </w:r>
    </w:p>
    <w:p w14:paraId="1D525C31" w14:textId="03026DC7" w:rsidR="00BF56A5" w:rsidRDefault="00BF56A5" w:rsidP="00BF56A5">
      <w:pPr>
        <w:pStyle w:val="Heading3"/>
        <w:spacing w:after="0"/>
        <w:rPr>
          <w:rFonts w:ascii="Times New Roman" w:eastAsia="Times New Roman" w:hAnsi="Times New Roman" w:cs="Times New Roman"/>
          <w:b w:val="0"/>
          <w:bCs w:val="0"/>
          <w:color w:val="000000"/>
        </w:rPr>
      </w:pPr>
      <w:r>
        <w:rPr>
          <w:rFonts w:ascii="Times New Roman" w:eastAsia="Times New Roman" w:hAnsi="Times New Roman" w:cs="Times New Roman"/>
          <w:color w:val="000000"/>
        </w:rPr>
        <w:t xml:space="preserve"> Fieldwork and Sampling</w:t>
      </w:r>
    </w:p>
    <w:p w14:paraId="7BA77939"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Field geological mapping and sampling form the first phase of the research. Mapping was performed by following exposures along road cuts, stream channels, gullies, and valleys to delineate various lithological units. At each site, detailed notes were made on the rock type, texture, color, and mineral content in the hand specimen. </w:t>
      </w:r>
    </w:p>
    <w:p w14:paraId="62E26D1A" w14:textId="63EC2C66" w:rsidR="00BF56A5" w:rsidRPr="004F34E6" w:rsidRDefault="00BF56A5" w:rsidP="00BF56A5">
      <w:pPr>
        <w:spacing w:after="0" w:line="360" w:lineRule="auto"/>
        <w:rPr>
          <w:rFonts w:ascii="Times New Roman" w:eastAsia="Times New Roman" w:hAnsi="Times New Roman" w:cs="Times New Roman"/>
        </w:rPr>
      </w:pPr>
      <w:r w:rsidRPr="00FF7A0C">
        <w:rPr>
          <w:rFonts w:ascii="Times New Roman" w:eastAsia="Times New Roman" w:hAnsi="Times New Roman" w:cs="Times New Roman"/>
        </w:rPr>
        <w:t xml:space="preserve">Although the clay horizons are typically thin (≤1.5 m) and laterally continuous, </w:t>
      </w:r>
      <w:r>
        <w:rPr>
          <w:rFonts w:ascii="Times New Roman" w:eastAsia="Times New Roman" w:hAnsi="Times New Roman" w:cs="Times New Roman"/>
        </w:rPr>
        <w:t xml:space="preserve">with limited </w:t>
      </w:r>
      <w:r w:rsidRPr="00FF7A0C">
        <w:rPr>
          <w:rFonts w:ascii="Times New Roman" w:eastAsia="Times New Roman" w:hAnsi="Times New Roman" w:cs="Times New Roman"/>
        </w:rPr>
        <w:t xml:space="preserve">vertical exposure, compositional variation </w:t>
      </w:r>
      <w:r>
        <w:rPr>
          <w:rFonts w:ascii="Times New Roman" w:eastAsia="Times New Roman" w:hAnsi="Times New Roman" w:cs="Times New Roman"/>
        </w:rPr>
        <w:t xml:space="preserve">in </w:t>
      </w:r>
      <w:r w:rsidRPr="00FF7A0C">
        <w:rPr>
          <w:rFonts w:ascii="Times New Roman" w:eastAsia="Times New Roman" w:hAnsi="Times New Roman" w:cs="Times New Roman"/>
        </w:rPr>
        <w:t xml:space="preserve">vertical </w:t>
      </w:r>
      <w:r>
        <w:rPr>
          <w:rFonts w:ascii="Times New Roman" w:eastAsia="Times New Roman" w:hAnsi="Times New Roman" w:cs="Times New Roman"/>
        </w:rPr>
        <w:t xml:space="preserve">section </w:t>
      </w:r>
      <w:r w:rsidRPr="00FF7A0C">
        <w:rPr>
          <w:rFonts w:ascii="Times New Roman" w:eastAsia="Times New Roman" w:hAnsi="Times New Roman" w:cs="Times New Roman"/>
        </w:rPr>
        <w:t>was not quantitatively assessed</w:t>
      </w:r>
      <w:r>
        <w:rPr>
          <w:rFonts w:ascii="Times New Roman" w:eastAsia="Times New Roman" w:hAnsi="Times New Roman" w:cs="Times New Roman"/>
        </w:rPr>
        <w:t xml:space="preserve">, and this </w:t>
      </w:r>
      <w:r w:rsidR="003E5EF9">
        <w:rPr>
          <w:rFonts w:ascii="Times New Roman" w:eastAsia="Times New Roman" w:hAnsi="Times New Roman" w:cs="Times New Roman"/>
        </w:rPr>
        <w:t>serves</w:t>
      </w:r>
      <w:r>
        <w:rPr>
          <w:rFonts w:ascii="Times New Roman" w:eastAsia="Times New Roman" w:hAnsi="Times New Roman" w:cs="Times New Roman"/>
        </w:rPr>
        <w:t xml:space="preserve"> as a limitation</w:t>
      </w:r>
      <w:r w:rsidRPr="00FF7A0C">
        <w:rPr>
          <w:rFonts w:ascii="Times New Roman" w:eastAsia="Times New Roman" w:hAnsi="Times New Roman" w:cs="Times New Roman"/>
        </w:rPr>
        <w:t xml:space="preserve"> in this study. Consequently, potential vertical geochemical or mineralogical gradients within the clay units remain unresolved and require further investigation using </w:t>
      </w:r>
      <w:r w:rsidR="003E5EF9" w:rsidRPr="00FF7A0C">
        <w:rPr>
          <w:rFonts w:ascii="Times New Roman" w:eastAsia="Times New Roman" w:hAnsi="Times New Roman" w:cs="Times New Roman"/>
        </w:rPr>
        <w:t>systematically</w:t>
      </w:r>
      <w:r w:rsidRPr="00FF7A0C">
        <w:rPr>
          <w:rFonts w:ascii="Times New Roman" w:eastAsia="Times New Roman" w:hAnsi="Times New Roman" w:cs="Times New Roman"/>
        </w:rPr>
        <w:t xml:space="preserve"> stratified sampling.</w:t>
      </w:r>
      <w:r>
        <w:rPr>
          <w:rFonts w:ascii="Times New Roman" w:eastAsia="Times New Roman" w:hAnsi="Times New Roman" w:cs="Times New Roman"/>
        </w:rPr>
        <w:t xml:space="preserve"> </w:t>
      </w:r>
      <w:r w:rsidRPr="004F34E6">
        <w:rPr>
          <w:rFonts w:ascii="Times New Roman" w:eastAsia="Times New Roman" w:hAnsi="Times New Roman" w:cs="Times New Roman"/>
        </w:rPr>
        <w:t xml:space="preserve">Field observations revealed variations in </w:t>
      </w:r>
      <w:r>
        <w:rPr>
          <w:rFonts w:ascii="Times New Roman" w:eastAsia="Times New Roman" w:hAnsi="Times New Roman" w:cs="Times New Roman"/>
        </w:rPr>
        <w:t>color</w:t>
      </w:r>
      <w:r w:rsidRPr="004F34E6">
        <w:rPr>
          <w:rFonts w:ascii="Times New Roman" w:eastAsia="Times New Roman" w:hAnsi="Times New Roman" w:cs="Times New Roman"/>
        </w:rPr>
        <w:t xml:space="preserve"> (creamy white, light grey, and mottled purple), texture, and degree of </w:t>
      </w:r>
      <w:r>
        <w:rPr>
          <w:rFonts w:ascii="Times New Roman" w:eastAsia="Times New Roman" w:hAnsi="Times New Roman" w:cs="Times New Roman"/>
        </w:rPr>
        <w:t>ferruginization,</w:t>
      </w:r>
      <w:r w:rsidRPr="004F34E6">
        <w:rPr>
          <w:rFonts w:ascii="Times New Roman" w:eastAsia="Times New Roman" w:hAnsi="Times New Roman" w:cs="Times New Roman"/>
        </w:rPr>
        <w:t xml:space="preserve"> which are interpreted to reflect differences in weathering intensity and depositional conditions. These variations were used to guide representative sampling across the study area.</w:t>
      </w:r>
    </w:p>
    <w:p w14:paraId="23805FC7" w14:textId="03F9160C" w:rsidR="00BF56A5" w:rsidRPr="00163613" w:rsidRDefault="00BF56A5" w:rsidP="00BF56A5">
      <w:pPr>
        <w:spacing w:after="0" w:line="360" w:lineRule="auto"/>
        <w:rPr>
          <w:rFonts w:ascii="Times New Roman" w:eastAsia="Times New Roman" w:hAnsi="Times New Roman" w:cs="Times New Roman"/>
        </w:rPr>
      </w:pPr>
      <w:r w:rsidRPr="004F34E6">
        <w:rPr>
          <w:rFonts w:ascii="Times New Roman" w:eastAsia="Times New Roman" w:hAnsi="Times New Roman" w:cs="Times New Roman"/>
        </w:rPr>
        <w:lastRenderedPageBreak/>
        <w:t xml:space="preserve">Given the limited thickness and apparent lateral continuity of the clay units, </w:t>
      </w:r>
      <w:r>
        <w:rPr>
          <w:rFonts w:ascii="Times New Roman" w:eastAsia="Times New Roman" w:hAnsi="Times New Roman" w:cs="Times New Roman"/>
        </w:rPr>
        <w:t>f</w:t>
      </w:r>
      <w:r w:rsidRPr="00FF7A0C">
        <w:rPr>
          <w:rFonts w:ascii="Times New Roman" w:eastAsia="Times New Roman" w:hAnsi="Times New Roman" w:cs="Times New Roman"/>
        </w:rPr>
        <w:t xml:space="preserve">ormal stratigraphic logging and layer-by-layer sampling were not conducted due to the absence of complete vertical sections. As a result, stratigraphic control on compositional variability is limited, and the present study focuses on representative sampling rather than detailed stratigraphic </w:t>
      </w:r>
      <w:r w:rsidR="003E5EF9" w:rsidRPr="00FF7A0C">
        <w:rPr>
          <w:rFonts w:ascii="Times New Roman" w:eastAsia="Times New Roman" w:hAnsi="Times New Roman" w:cs="Times New Roman"/>
        </w:rPr>
        <w:t>resolution.</w:t>
      </w:r>
      <w:r>
        <w:rPr>
          <w:rFonts w:ascii="Times New Roman" w:eastAsia="Times New Roman" w:hAnsi="Times New Roman" w:cs="Times New Roman"/>
        </w:rPr>
        <w:t xml:space="preserve"> The locations of sample points were recorded with a Global Positioning System (GPS) and used to produce a sample location map (Figure 5). </w:t>
      </w:r>
    </w:p>
    <w:p w14:paraId="083A0543" w14:textId="77777777" w:rsidR="00541F07" w:rsidRDefault="00BF56A5" w:rsidP="00BF56A5">
      <w:pPr>
        <w:spacing w:after="0" w:line="360" w:lineRule="auto"/>
        <w:jc w:val="center"/>
        <w:rPr>
          <w:rFonts w:ascii="Times New Roman" w:eastAsia="Times New Roman" w:hAnsi="Times New Roman" w:cs="Times New Roman"/>
        </w:rPr>
      </w:pPr>
      <w:r>
        <w:rPr>
          <w:noProof/>
        </w:rPr>
        <w:drawing>
          <wp:inline distT="0" distB="0" distL="0" distR="0" wp14:anchorId="6B28826C" wp14:editId="4094DC94">
            <wp:extent cx="4992624" cy="3035808"/>
            <wp:effectExtent l="0" t="0" r="0" b="0"/>
            <wp:docPr id="168434142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5"/>
                    <a:srcRect/>
                    <a:stretch>
                      <a:fillRect/>
                    </a:stretch>
                  </pic:blipFill>
                  <pic:spPr>
                    <a:xfrm>
                      <a:off x="0" y="0"/>
                      <a:ext cx="4992624" cy="3035808"/>
                    </a:xfrm>
                    <a:prstGeom prst="rect">
                      <a:avLst/>
                    </a:prstGeom>
                    <a:ln/>
                  </pic:spPr>
                </pic:pic>
              </a:graphicData>
            </a:graphic>
          </wp:inline>
        </w:drawing>
      </w:r>
    </w:p>
    <w:p w14:paraId="0EE72D43" w14:textId="292EECAA" w:rsidR="00BF56A5" w:rsidRDefault="00BF56A5" w:rsidP="00BF56A5">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5. A map of the study area shows locations where clay samples were collected.</w:t>
      </w:r>
    </w:p>
    <w:p w14:paraId="55C02041" w14:textId="199B3D66" w:rsidR="00BF56A5" w:rsidRDefault="00BF56A5" w:rsidP="00BF56A5">
      <w:pPr>
        <w:pStyle w:val="Heading3"/>
        <w:spacing w:after="0"/>
        <w:rPr>
          <w:rFonts w:ascii="Times New Roman" w:eastAsia="Times New Roman" w:hAnsi="Times New Roman" w:cs="Times New Roman"/>
          <w:b w:val="0"/>
          <w:bCs w:val="0"/>
          <w:color w:val="000000"/>
        </w:rPr>
      </w:pPr>
      <w:r>
        <w:rPr>
          <w:rFonts w:ascii="Times New Roman" w:eastAsia="Times New Roman" w:hAnsi="Times New Roman" w:cs="Times New Roman"/>
          <w:color w:val="000000"/>
        </w:rPr>
        <w:t xml:space="preserve"> Laboratory Analyses</w:t>
      </w:r>
    </w:p>
    <w:p w14:paraId="46A2514D" w14:textId="77777777" w:rsidR="00BF56A5" w:rsidRDefault="00BF56A5" w:rsidP="00BF56A5">
      <w:pPr>
        <w:pBdr>
          <w:top w:val="nil"/>
          <w:left w:val="nil"/>
          <w:bottom w:val="nil"/>
          <w:right w:val="nil"/>
          <w:between w:val="nil"/>
        </w:pBdr>
        <w:spacing w:after="0"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Five samples of clay were selected, each from </w:t>
      </w:r>
      <w:r>
        <w:rPr>
          <w:rFonts w:ascii="Times New Roman" w:eastAsia="Times New Roman" w:hAnsi="Times New Roman" w:cs="Times New Roman"/>
        </w:rPr>
        <w:t>the Lafia</w:t>
      </w:r>
      <w:r>
        <w:rPr>
          <w:rFonts w:ascii="Times New Roman" w:eastAsia="Times New Roman" w:hAnsi="Times New Roman" w:cs="Times New Roman"/>
          <w:color w:val="000000"/>
        </w:rPr>
        <w:t xml:space="preserve"> and Doma </w:t>
      </w:r>
      <w:r>
        <w:rPr>
          <w:rFonts w:ascii="Times New Roman" w:eastAsia="Times New Roman" w:hAnsi="Times New Roman" w:cs="Times New Roman"/>
        </w:rPr>
        <w:t>areas</w:t>
      </w:r>
      <w:r>
        <w:rPr>
          <w:rFonts w:ascii="Times New Roman" w:eastAsia="Times New Roman" w:hAnsi="Times New Roman" w:cs="Times New Roman"/>
          <w:color w:val="000000"/>
        </w:rPr>
        <w:t xml:space="preserve"> (making a total of ten samples), for XRF, hydrometer test, and Atterberg limit test. Four representative samples were selected for XRD analysis to determine mineralogical composition. </w:t>
      </w:r>
      <w:r w:rsidRPr="008C628C">
        <w:rPr>
          <w:rFonts w:ascii="Times New Roman" w:eastAsia="Times New Roman" w:hAnsi="Times New Roman" w:cs="Times New Roman"/>
          <w:color w:val="000000"/>
        </w:rPr>
        <w:t xml:space="preserve">For this preliminary mineralogical characterization, </w:t>
      </w:r>
      <w:r>
        <w:rPr>
          <w:rFonts w:ascii="Times New Roman" w:eastAsia="Times New Roman" w:hAnsi="Times New Roman" w:cs="Times New Roman"/>
          <w:color w:val="000000"/>
        </w:rPr>
        <w:t xml:space="preserve">the selected </w:t>
      </w:r>
      <w:r w:rsidRPr="008C628C">
        <w:rPr>
          <w:rFonts w:ascii="Times New Roman" w:eastAsia="Times New Roman" w:hAnsi="Times New Roman" w:cs="Times New Roman"/>
          <w:color w:val="000000"/>
        </w:rPr>
        <w:t xml:space="preserve">four samples were selected </w:t>
      </w:r>
      <w:r>
        <w:rPr>
          <w:rFonts w:ascii="Times New Roman" w:eastAsia="Times New Roman" w:hAnsi="Times New Roman" w:cs="Times New Roman"/>
          <w:color w:val="000000"/>
        </w:rPr>
        <w:t xml:space="preserve">to serve </w:t>
      </w:r>
      <w:r w:rsidRPr="008C628C">
        <w:rPr>
          <w:rFonts w:ascii="Times New Roman" w:eastAsia="Times New Roman" w:hAnsi="Times New Roman" w:cs="Times New Roman"/>
          <w:color w:val="000000"/>
        </w:rPr>
        <w:t>as end-members to capture the primary mineralogical trends across the study area. These samples were chosen based on distinct lithological variations, including color differences and spatial distribution, to establish baseline compositional characteristics.</w:t>
      </w:r>
    </w:p>
    <w:p w14:paraId="5C15E232" w14:textId="77777777" w:rsidR="00BF56A5" w:rsidRPr="00DD6E4F" w:rsidRDefault="00BF56A5" w:rsidP="00BF56A5">
      <w:pPr>
        <w:pBdr>
          <w:top w:val="nil"/>
          <w:left w:val="nil"/>
          <w:bottom w:val="nil"/>
          <w:right w:val="nil"/>
          <w:between w:val="nil"/>
        </w:pBdr>
        <w:spacing w:after="0"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The samples were oven</w:t>
      </w:r>
      <w:r>
        <w:rPr>
          <w:rFonts w:ascii="Times New Roman" w:eastAsia="Times New Roman" w:hAnsi="Times New Roman" w:cs="Times New Roman"/>
        </w:rPr>
        <w:t>-dried</w:t>
      </w:r>
      <w:r>
        <w:rPr>
          <w:rFonts w:ascii="Times New Roman" w:eastAsia="Times New Roman" w:hAnsi="Times New Roman" w:cs="Times New Roman"/>
          <w:color w:val="000000"/>
        </w:rPr>
        <w:t xml:space="preserve"> and </w:t>
      </w:r>
      <w:r>
        <w:rPr>
          <w:rFonts w:ascii="Times New Roman" w:eastAsia="Times New Roman" w:hAnsi="Times New Roman" w:cs="Times New Roman"/>
        </w:rPr>
        <w:t>pulverized</w:t>
      </w:r>
      <w:r>
        <w:rPr>
          <w:rFonts w:ascii="Times New Roman" w:eastAsia="Times New Roman" w:hAnsi="Times New Roman" w:cs="Times New Roman"/>
          <w:color w:val="000000"/>
        </w:rPr>
        <w:t xml:space="preserve"> to particle sizes below 150 µm. XRD measurements were conducted using a Rigaku Miniflex 600 diffractometer equipped with Cu-Kα radiation operating over a 2θ range of 2° to 70°. Quantitative phase analysis was performed using full-pattern Rietveld refinement implemented in the PANalytical software package. Background </w:t>
      </w:r>
      <w:r>
        <w:rPr>
          <w:rFonts w:ascii="Times New Roman" w:eastAsia="Times New Roman" w:hAnsi="Times New Roman" w:cs="Times New Roman"/>
          <w:color w:val="000000"/>
        </w:rPr>
        <w:lastRenderedPageBreak/>
        <w:t xml:space="preserve">fitting, peak profile </w:t>
      </w:r>
      <w:r>
        <w:rPr>
          <w:rFonts w:ascii="Times New Roman" w:eastAsia="Times New Roman" w:hAnsi="Times New Roman" w:cs="Times New Roman"/>
        </w:rPr>
        <w:t>modeling,</w:t>
      </w:r>
      <w:r>
        <w:rPr>
          <w:rFonts w:ascii="Times New Roman" w:eastAsia="Times New Roman" w:hAnsi="Times New Roman" w:cs="Times New Roman"/>
          <w:color w:val="000000"/>
        </w:rPr>
        <w:t xml:space="preserve"> scale factor refinement, and instrumental broadening corrections were applied during the refinement process. Mineral phase identification was based on comparison with the ICDD database, and phase abundances were determined from refined scale factors.</w:t>
      </w:r>
    </w:p>
    <w:p w14:paraId="4E936F3B" w14:textId="3661BC39"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0.4 g of the powdered sample was fused with 7.6 g of flux to form glass beads, which were used for XRF analysis employing Genius–IF Xenemetrix XRF equipment. </w:t>
      </w:r>
      <w:r w:rsidRPr="00DD6E4F">
        <w:rPr>
          <w:rFonts w:ascii="Times New Roman" w:eastAsia="Times New Roman" w:hAnsi="Times New Roman" w:cs="Times New Roman"/>
        </w:rPr>
        <w:t xml:space="preserve">The XRF instrument was calibrated using certified reference materials to ensure analytical accuracy. </w:t>
      </w:r>
      <w:r w:rsidRPr="00127950">
        <w:rPr>
          <w:rFonts w:ascii="Times New Roman" w:eastAsia="Times New Roman" w:hAnsi="Times New Roman" w:cs="Times New Roman"/>
        </w:rPr>
        <w:t>Instrument calibration was performed using certified reference materials to ensure analytical accuracy. Analytical precision for major oxides is better than ±0.5 wt%, and detection limits (LOD) are approximately 0.01 wt%, depending on the specific oxide and instrument configuration. No replicate analyses were performed; therefore, analytical reproducibility is inferred from instrument calibration and precision rather than duplicate measurements</w:t>
      </w:r>
      <w:r w:rsidRPr="00DD6E4F">
        <w:rPr>
          <w:rFonts w:ascii="Times New Roman" w:eastAsia="Times New Roman" w:hAnsi="Times New Roman" w:cs="Times New Roman"/>
        </w:rPr>
        <w:t>.</w:t>
      </w:r>
      <w:r>
        <w:rPr>
          <w:rFonts w:ascii="Times New Roman" w:eastAsia="Times New Roman" w:hAnsi="Times New Roman" w:cs="Times New Roman"/>
        </w:rPr>
        <w:t xml:space="preserve"> The level of chemical alterations of the analyzed clays was evaluated using the chemical alteration index in Equation 1. Relative oxides were normalized and plotted as triangular diagrams.</w:t>
      </w:r>
    </w:p>
    <w:p w14:paraId="091F06D3" w14:textId="77777777" w:rsidR="00BF56A5" w:rsidRDefault="00BF56A5" w:rsidP="00BF56A5">
      <w:pPr>
        <w:spacing w:after="0" w:line="360" w:lineRule="auto"/>
        <w:rPr>
          <w:rFonts w:ascii="Times New Roman" w:eastAsia="Times New Roman" w:hAnsi="Times New Roman" w:cs="Times New Roman"/>
        </w:rPr>
      </w:pPr>
      <w:r>
        <w:rPr>
          <w:rFonts w:ascii="Times New Roman" w:eastAsia="Times New Roman" w:hAnsi="Times New Roman" w:cs="Times New Roman"/>
        </w:rPr>
        <w:t>Laboratory tests to determine the grain size, physical, and geotechnical performance of the clays were also carried out. A hydrometer test to determine the grain size distribution of the clay was performed based on ASTM D7928 standards. Samples were dispersed using sodium hexametaphosphate solution as a dispersing agent. Temperature corrections were applied according to ASTM D7928. Atterberg limit tests, comprising Liquid Limit (LL), Plastic Limit (PL), and Plasticity Index (PI), were performed in line with ASTM D4318 standards.</w:t>
      </w:r>
    </w:p>
    <w:p w14:paraId="06557EB5" w14:textId="77777777" w:rsidR="00BF56A5" w:rsidRDefault="00BF56A5" w:rsidP="00BF56A5">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 xml:space="preserve">CIA = </w:t>
      </w:r>
      <m:oMath>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sSub>
                  <m:sSubPr>
                    <m:ctrlPr>
                      <w:rPr>
                        <w:rFonts w:ascii="Cambria Math" w:eastAsia="Times New Roman" w:hAnsi="Cambria Math" w:cs="Times New Roman"/>
                      </w:rPr>
                    </m:ctrlPr>
                  </m:sSubPr>
                  <m:e>
                    <m:r>
                      <m:rPr>
                        <m:sty m:val="p"/>
                      </m:rPr>
                      <w:rPr>
                        <w:rFonts w:ascii="Cambria Math" w:eastAsia="Times New Roman" w:hAnsi="Cambria Math" w:cs="Times New Roman"/>
                      </w:rPr>
                      <m:t>Al</m:t>
                    </m:r>
                  </m:e>
                  <m:sub>
                    <m:r>
                      <m:rPr>
                        <m:sty m:val="p"/>
                      </m:rPr>
                      <w:rPr>
                        <w:rFonts w:ascii="Cambria Math" w:eastAsia="Times New Roman" w:hAnsi="Cambria Math" w:cs="Times New Roman"/>
                      </w:rPr>
                      <m:t>2</m:t>
                    </m:r>
                  </m:sub>
                </m:sSub>
                <m:sSub>
                  <m:sSubPr>
                    <m:ctrlPr>
                      <w:rPr>
                        <w:rFonts w:ascii="Cambria Math" w:eastAsia="Times New Roman" w:hAnsi="Cambria Math" w:cs="Times New Roman"/>
                        <w:i/>
                      </w:rPr>
                    </m:ctrlPr>
                  </m:sSubPr>
                  <m:e>
                    <m:r>
                      <w:rPr>
                        <w:rFonts w:ascii="Cambria Math" w:eastAsia="Times New Roman" w:hAnsi="Cambria Math" w:cs="Times New Roman"/>
                      </w:rPr>
                      <m:t>O</m:t>
                    </m:r>
                  </m:e>
                  <m:sub>
                    <m:r>
                      <w:rPr>
                        <w:rFonts w:ascii="Cambria Math" w:eastAsia="Times New Roman" w:hAnsi="Cambria Math" w:cs="Times New Roman"/>
                      </w:rPr>
                      <m:t>3</m:t>
                    </m:r>
                  </m:sub>
                </m:sSub>
              </m:num>
              <m:den>
                <m:r>
                  <w:rPr>
                    <w:rFonts w:ascii="Cambria Math" w:eastAsia="Times New Roman" w:hAnsi="Cambria Math" w:cs="Times New Roman"/>
                  </w:rPr>
                  <m:t>A</m:t>
                </m:r>
                <m:sSub>
                  <m:sSubPr>
                    <m:ctrlPr>
                      <w:rPr>
                        <w:rFonts w:ascii="Cambria Math" w:eastAsia="Times New Roman" w:hAnsi="Cambria Math" w:cs="Times New Roman"/>
                        <w:i/>
                      </w:rPr>
                    </m:ctrlPr>
                  </m:sSubPr>
                  <m:e>
                    <m:r>
                      <w:rPr>
                        <w:rFonts w:ascii="Cambria Math" w:eastAsia="Times New Roman" w:hAnsi="Cambria Math" w:cs="Times New Roman"/>
                      </w:rPr>
                      <m:t>l</m:t>
                    </m:r>
                  </m:e>
                  <m:sub>
                    <m:r>
                      <w:rPr>
                        <w:rFonts w:ascii="Cambria Math" w:eastAsia="Times New Roman" w:hAnsi="Cambria Math" w:cs="Times New Roman"/>
                      </w:rPr>
                      <m:t>2</m:t>
                    </m:r>
                  </m:sub>
                </m:sSub>
                <m:sSub>
                  <m:sSubPr>
                    <m:ctrlPr>
                      <w:rPr>
                        <w:rFonts w:ascii="Cambria Math" w:eastAsia="Times New Roman" w:hAnsi="Cambria Math" w:cs="Times New Roman"/>
                        <w:i/>
                      </w:rPr>
                    </m:ctrlPr>
                  </m:sSubPr>
                  <m:e>
                    <m:r>
                      <w:rPr>
                        <w:rFonts w:ascii="Cambria Math" w:eastAsia="Times New Roman" w:hAnsi="Cambria Math" w:cs="Times New Roman"/>
                      </w:rPr>
                      <m:t>O</m:t>
                    </m:r>
                  </m:e>
                  <m:sub>
                    <m:r>
                      <w:rPr>
                        <w:rFonts w:ascii="Cambria Math" w:eastAsia="Times New Roman" w:hAnsi="Cambria Math" w:cs="Times New Roman"/>
                      </w:rPr>
                      <m:t>3</m:t>
                    </m:r>
                  </m:sub>
                </m:sSub>
                <m:r>
                  <w:rPr>
                    <w:rFonts w:ascii="Cambria Math" w:eastAsia="Times New Roman" w:hAnsi="Cambria Math" w:cs="Times New Roman"/>
                  </w:rPr>
                  <m:t>+Ca</m:t>
                </m:r>
                <m:sSup>
                  <m:sSupPr>
                    <m:ctrlPr>
                      <w:rPr>
                        <w:rFonts w:ascii="Cambria Math" w:eastAsia="Times New Roman" w:hAnsi="Cambria Math" w:cs="Times New Roman"/>
                        <w:i/>
                      </w:rPr>
                    </m:ctrlPr>
                  </m:sSupPr>
                  <m:e>
                    <m:r>
                      <w:rPr>
                        <w:rFonts w:ascii="Cambria Math" w:eastAsia="Times New Roman" w:hAnsi="Cambria Math" w:cs="Times New Roman"/>
                      </w:rPr>
                      <m:t>O</m:t>
                    </m:r>
                  </m:e>
                  <m:sup>
                    <m:r>
                      <w:rPr>
                        <w:rFonts w:ascii="Cambria Math" w:eastAsia="Times New Roman" w:hAnsi="Cambria Math" w:cs="Times New Roman"/>
                      </w:rPr>
                      <m:t>*</m:t>
                    </m:r>
                  </m:sup>
                </m:sSup>
                <m:r>
                  <w:rPr>
                    <w:rFonts w:ascii="Cambria Math" w:eastAsia="Times New Roman" w:hAnsi="Cambria Math" w:cs="Times New Roman"/>
                  </w:rPr>
                  <m:t>+N</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2</m:t>
                    </m:r>
                  </m:sub>
                </m:sSub>
                <m:r>
                  <w:rPr>
                    <w:rFonts w:ascii="Cambria Math" w:eastAsia="Times New Roman" w:hAnsi="Cambria Math" w:cs="Times New Roman"/>
                  </w:rPr>
                  <m:t>O+</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2</m:t>
                    </m:r>
                  </m:sub>
                </m:sSub>
                <m:r>
                  <w:rPr>
                    <w:rFonts w:ascii="Cambria Math" w:eastAsia="Times New Roman" w:hAnsi="Cambria Math" w:cs="Times New Roman"/>
                  </w:rPr>
                  <m:t xml:space="preserve">O </m:t>
                </m:r>
              </m:den>
            </m:f>
          </m:e>
        </m:d>
        <m:r>
          <w:rPr>
            <w:rFonts w:ascii="Cambria Math" w:eastAsia="Times New Roman" w:hAnsi="Cambria Math" w:cs="Times New Roman"/>
          </w:rPr>
          <m:t>×100</m:t>
        </m:r>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1</w:t>
      </w:r>
    </w:p>
    <w:p w14:paraId="0109D02F" w14:textId="25E861E1" w:rsidR="00BF56A5" w:rsidRPr="00BF56A5" w:rsidRDefault="00BF56A5" w:rsidP="00BF56A5">
      <w:r>
        <w:t>CaO* represents the value of CaO derived only from silicate minerals.</w:t>
      </w:r>
    </w:p>
    <w:p w14:paraId="66E07136" w14:textId="1CCD0A1E" w:rsidR="00452A9C" w:rsidRDefault="00452A9C" w:rsidP="00BF56A5">
      <w:pPr>
        <w:pStyle w:val="Heading2"/>
      </w:pPr>
      <w:r>
        <w:t>Results</w:t>
      </w:r>
    </w:p>
    <w:p w14:paraId="6F249E9C" w14:textId="77777777" w:rsidR="00D6590C" w:rsidRDefault="00D6590C" w:rsidP="00D6590C">
      <w:pPr>
        <w:spacing w:after="0" w:line="360" w:lineRule="auto"/>
        <w:rPr>
          <w:rFonts w:ascii="Times New Roman" w:eastAsia="Times New Roman" w:hAnsi="Times New Roman" w:cs="Times New Roman"/>
        </w:rPr>
      </w:pPr>
      <w:r>
        <w:rPr>
          <w:rFonts w:ascii="Times New Roman" w:eastAsia="Times New Roman" w:hAnsi="Times New Roman" w:cs="Times New Roman"/>
        </w:rPr>
        <w:t>The XRD investigation reveals that quartz and kaolinite are the predominant minerals in the diffraction patterns. Additional minerals comprise orthoclase, illite, muscovite, and albite.</w:t>
      </w:r>
    </w:p>
    <w:p w14:paraId="2A1E379F" w14:textId="443B7D0D" w:rsidR="00541F07" w:rsidRDefault="00D6590C" w:rsidP="00D6590C">
      <w:pPr>
        <w:spacing w:after="0" w:line="360" w:lineRule="auto"/>
        <w:rPr>
          <w:rFonts w:ascii="Times New Roman" w:eastAsia="Times New Roman" w:hAnsi="Times New Roman" w:cs="Times New Roman"/>
        </w:rPr>
      </w:pPr>
      <w:r>
        <w:rPr>
          <w:rFonts w:ascii="Times New Roman" w:eastAsia="Times New Roman" w:hAnsi="Times New Roman" w:cs="Times New Roman"/>
        </w:rPr>
        <w:t>The percentage composition of the mineral phases and the diffractogram are presented in Table 1 and Figure 6, respectively. The mineralogical percentage of the clay samples in Lafia has more kaolinite and less quartz content than the clay samples in Doma. Generally, the quartz composition ranges from 30 wt% to 45 wt% with an average of 38.25 wt%. Kaolinite has an average of 42.0 wt% with a range of 32.0 wt% to 51.0 wt%. Other mineral phases in the clays have less than 10.0 wt%.</w:t>
      </w:r>
    </w:p>
    <w:p w14:paraId="08035F7B" w14:textId="77777777" w:rsidR="00D6590C" w:rsidRDefault="00D6590C" w:rsidP="00D6590C">
      <w:pPr>
        <w:spacing w:after="0" w:line="360" w:lineRule="auto"/>
        <w:jc w:val="center"/>
        <w:rPr>
          <w:rFonts w:ascii="Times New Roman" w:eastAsia="Times New Roman" w:hAnsi="Times New Roman" w:cs="Times New Roman"/>
        </w:rPr>
      </w:pPr>
      <w:bookmarkStart w:id="2" w:name="_heading=h.5opihjfwbcn6" w:colFirst="0" w:colLast="0"/>
      <w:bookmarkEnd w:id="2"/>
      <w:r>
        <w:rPr>
          <w:rFonts w:ascii="Times New Roman" w:eastAsia="Times New Roman" w:hAnsi="Times New Roman" w:cs="Times New Roman"/>
        </w:rPr>
        <w:lastRenderedPageBreak/>
        <w:t>Table 1. Percentage composition of mineral phases in clay deposits of the study area</w:t>
      </w:r>
    </w:p>
    <w:tbl>
      <w:tblPr>
        <w:tblW w:w="7943"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1125"/>
        <w:gridCol w:w="975"/>
        <w:gridCol w:w="1161"/>
        <w:gridCol w:w="1290"/>
        <w:gridCol w:w="891"/>
        <w:gridCol w:w="1275"/>
        <w:gridCol w:w="1226"/>
      </w:tblGrid>
      <w:tr w:rsidR="00D6590C" w14:paraId="63D95E4D" w14:textId="77777777" w:rsidTr="00F22F79">
        <w:trPr>
          <w:trHeight w:val="495"/>
          <w:jc w:val="center"/>
        </w:trPr>
        <w:tc>
          <w:tcPr>
            <w:tcW w:w="1125" w:type="dxa"/>
          </w:tcPr>
          <w:p w14:paraId="04729414" w14:textId="77777777" w:rsidR="00D6590C" w:rsidRPr="00A625E0" w:rsidRDefault="00D6590C" w:rsidP="00A625E0">
            <w:pPr>
              <w:spacing w:line="360" w:lineRule="auto"/>
              <w:jc w:val="center"/>
              <w:rPr>
                <w:rFonts w:ascii="Times New Roman" w:eastAsia="Times New Roman" w:hAnsi="Times New Roman" w:cs="Times New Roman"/>
              </w:rPr>
            </w:pPr>
            <w:bookmarkStart w:id="3" w:name="_heading=h.131kidm7i0u" w:colFirst="0" w:colLast="0"/>
            <w:bookmarkEnd w:id="3"/>
            <w:r w:rsidRPr="00A625E0">
              <w:rPr>
                <w:rFonts w:ascii="Times New Roman" w:eastAsia="Times New Roman" w:hAnsi="Times New Roman" w:cs="Times New Roman"/>
              </w:rPr>
              <w:t>S/No.</w:t>
            </w:r>
          </w:p>
        </w:tc>
        <w:tc>
          <w:tcPr>
            <w:tcW w:w="975" w:type="dxa"/>
          </w:tcPr>
          <w:p w14:paraId="3AA7850E"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Quartz</w:t>
            </w:r>
          </w:p>
        </w:tc>
        <w:tc>
          <w:tcPr>
            <w:tcW w:w="1161" w:type="dxa"/>
          </w:tcPr>
          <w:p w14:paraId="47A82FFE"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kaolinite</w:t>
            </w:r>
          </w:p>
        </w:tc>
        <w:tc>
          <w:tcPr>
            <w:tcW w:w="1290" w:type="dxa"/>
          </w:tcPr>
          <w:p w14:paraId="1A460F2C"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Orthoclase</w:t>
            </w:r>
          </w:p>
        </w:tc>
        <w:tc>
          <w:tcPr>
            <w:tcW w:w="891" w:type="dxa"/>
          </w:tcPr>
          <w:p w14:paraId="0CC0D40B"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Illite</w:t>
            </w:r>
          </w:p>
        </w:tc>
        <w:tc>
          <w:tcPr>
            <w:tcW w:w="1275" w:type="dxa"/>
          </w:tcPr>
          <w:p w14:paraId="5C93614B"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Muscovite</w:t>
            </w:r>
          </w:p>
        </w:tc>
        <w:tc>
          <w:tcPr>
            <w:tcW w:w="1226" w:type="dxa"/>
          </w:tcPr>
          <w:p w14:paraId="1D085609" w14:textId="77777777" w:rsidR="00D6590C" w:rsidRPr="00A625E0" w:rsidRDefault="00D6590C" w:rsidP="00A625E0">
            <w:pPr>
              <w:spacing w:line="360" w:lineRule="auto"/>
              <w:jc w:val="center"/>
              <w:rPr>
                <w:rFonts w:ascii="Times New Roman" w:eastAsia="Times New Roman" w:hAnsi="Times New Roman" w:cs="Times New Roman"/>
              </w:rPr>
            </w:pPr>
            <w:r w:rsidRPr="00A625E0">
              <w:rPr>
                <w:rFonts w:ascii="Times New Roman" w:eastAsia="Times New Roman" w:hAnsi="Times New Roman" w:cs="Times New Roman"/>
              </w:rPr>
              <w:t>Albite</w:t>
            </w:r>
          </w:p>
        </w:tc>
      </w:tr>
      <w:tr w:rsidR="00D6590C" w14:paraId="732A819D" w14:textId="77777777" w:rsidTr="00F22F79">
        <w:trPr>
          <w:trHeight w:val="312"/>
          <w:jc w:val="center"/>
        </w:trPr>
        <w:tc>
          <w:tcPr>
            <w:tcW w:w="1125" w:type="dxa"/>
          </w:tcPr>
          <w:p w14:paraId="2503914E"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DM2</w:t>
            </w:r>
          </w:p>
        </w:tc>
        <w:tc>
          <w:tcPr>
            <w:tcW w:w="975" w:type="dxa"/>
          </w:tcPr>
          <w:p w14:paraId="14EA354E" w14:textId="12AFC224"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45</w:t>
            </w:r>
          </w:p>
        </w:tc>
        <w:tc>
          <w:tcPr>
            <w:tcW w:w="1161" w:type="dxa"/>
          </w:tcPr>
          <w:p w14:paraId="780BAE40"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32</w:t>
            </w:r>
          </w:p>
        </w:tc>
        <w:tc>
          <w:tcPr>
            <w:tcW w:w="1290" w:type="dxa"/>
          </w:tcPr>
          <w:p w14:paraId="7328C0F0"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891" w:type="dxa"/>
          </w:tcPr>
          <w:p w14:paraId="7D7EA268"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275" w:type="dxa"/>
          </w:tcPr>
          <w:p w14:paraId="7E296D48"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1226" w:type="dxa"/>
          </w:tcPr>
          <w:p w14:paraId="16526CF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r>
      <w:tr w:rsidR="00D6590C" w14:paraId="4EF9CA4B" w14:textId="77777777" w:rsidTr="00F22F79">
        <w:trPr>
          <w:trHeight w:val="324"/>
          <w:jc w:val="center"/>
        </w:trPr>
        <w:tc>
          <w:tcPr>
            <w:tcW w:w="1125" w:type="dxa"/>
          </w:tcPr>
          <w:p w14:paraId="40BB4DFC"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DM3</w:t>
            </w:r>
          </w:p>
        </w:tc>
        <w:tc>
          <w:tcPr>
            <w:tcW w:w="975" w:type="dxa"/>
          </w:tcPr>
          <w:p w14:paraId="6CAB906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40</w:t>
            </w:r>
          </w:p>
        </w:tc>
        <w:tc>
          <w:tcPr>
            <w:tcW w:w="1161" w:type="dxa"/>
          </w:tcPr>
          <w:p w14:paraId="0CCF2FFC"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36</w:t>
            </w:r>
          </w:p>
        </w:tc>
        <w:tc>
          <w:tcPr>
            <w:tcW w:w="1290" w:type="dxa"/>
          </w:tcPr>
          <w:p w14:paraId="0370A081"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891" w:type="dxa"/>
          </w:tcPr>
          <w:p w14:paraId="12CA330F"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275" w:type="dxa"/>
          </w:tcPr>
          <w:p w14:paraId="721570C8"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226" w:type="dxa"/>
          </w:tcPr>
          <w:p w14:paraId="3B949A8C"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w:t>
            </w:r>
          </w:p>
        </w:tc>
      </w:tr>
      <w:tr w:rsidR="00D6590C" w14:paraId="2B70B92B" w14:textId="77777777" w:rsidTr="00F22F79">
        <w:trPr>
          <w:trHeight w:val="324"/>
          <w:jc w:val="center"/>
        </w:trPr>
        <w:tc>
          <w:tcPr>
            <w:tcW w:w="1125" w:type="dxa"/>
          </w:tcPr>
          <w:p w14:paraId="5FD28C7D"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LF1</w:t>
            </w:r>
          </w:p>
        </w:tc>
        <w:tc>
          <w:tcPr>
            <w:tcW w:w="975" w:type="dxa"/>
          </w:tcPr>
          <w:p w14:paraId="2B64912C"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38</w:t>
            </w:r>
          </w:p>
        </w:tc>
        <w:tc>
          <w:tcPr>
            <w:tcW w:w="1161" w:type="dxa"/>
          </w:tcPr>
          <w:p w14:paraId="4C21FED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49</w:t>
            </w:r>
          </w:p>
        </w:tc>
        <w:tc>
          <w:tcPr>
            <w:tcW w:w="1290" w:type="dxa"/>
          </w:tcPr>
          <w:p w14:paraId="4F39ED8C"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891" w:type="dxa"/>
          </w:tcPr>
          <w:p w14:paraId="7C5AE83A"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275" w:type="dxa"/>
          </w:tcPr>
          <w:p w14:paraId="468BE72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226" w:type="dxa"/>
          </w:tcPr>
          <w:p w14:paraId="002F237A"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r>
      <w:tr w:rsidR="00D6590C" w14:paraId="1A1BC132" w14:textId="77777777" w:rsidTr="00F22F79">
        <w:trPr>
          <w:trHeight w:val="324"/>
          <w:jc w:val="center"/>
        </w:trPr>
        <w:tc>
          <w:tcPr>
            <w:tcW w:w="1125" w:type="dxa"/>
          </w:tcPr>
          <w:p w14:paraId="1E7C62CB"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LF2</w:t>
            </w:r>
          </w:p>
        </w:tc>
        <w:tc>
          <w:tcPr>
            <w:tcW w:w="975" w:type="dxa"/>
          </w:tcPr>
          <w:p w14:paraId="24E6C22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30</w:t>
            </w:r>
          </w:p>
        </w:tc>
        <w:tc>
          <w:tcPr>
            <w:tcW w:w="1161" w:type="dxa"/>
          </w:tcPr>
          <w:p w14:paraId="43B2A1FD"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51</w:t>
            </w:r>
          </w:p>
        </w:tc>
        <w:tc>
          <w:tcPr>
            <w:tcW w:w="1290" w:type="dxa"/>
          </w:tcPr>
          <w:p w14:paraId="36FD489E"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891" w:type="dxa"/>
          </w:tcPr>
          <w:p w14:paraId="2DD7A9D8"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275" w:type="dxa"/>
          </w:tcPr>
          <w:p w14:paraId="459B9225"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226" w:type="dxa"/>
          </w:tcPr>
          <w:p w14:paraId="7C4264A3"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r>
      <w:tr w:rsidR="00D6590C" w14:paraId="270190CA" w14:textId="77777777" w:rsidTr="00F22F79">
        <w:trPr>
          <w:trHeight w:val="324"/>
          <w:jc w:val="center"/>
        </w:trPr>
        <w:tc>
          <w:tcPr>
            <w:tcW w:w="1125" w:type="dxa"/>
          </w:tcPr>
          <w:p w14:paraId="35CF57EF"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Average</w:t>
            </w:r>
          </w:p>
        </w:tc>
        <w:tc>
          <w:tcPr>
            <w:tcW w:w="975" w:type="dxa"/>
          </w:tcPr>
          <w:p w14:paraId="6E6D2B36"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38.25</w:t>
            </w:r>
          </w:p>
        </w:tc>
        <w:tc>
          <w:tcPr>
            <w:tcW w:w="1161" w:type="dxa"/>
          </w:tcPr>
          <w:p w14:paraId="6D1FAA14"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42</w:t>
            </w:r>
          </w:p>
        </w:tc>
        <w:tc>
          <w:tcPr>
            <w:tcW w:w="1290" w:type="dxa"/>
          </w:tcPr>
          <w:p w14:paraId="72CCBE05"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7.5</w:t>
            </w:r>
          </w:p>
        </w:tc>
        <w:tc>
          <w:tcPr>
            <w:tcW w:w="891" w:type="dxa"/>
          </w:tcPr>
          <w:p w14:paraId="33A2B04A"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3.25</w:t>
            </w:r>
          </w:p>
        </w:tc>
        <w:tc>
          <w:tcPr>
            <w:tcW w:w="1275" w:type="dxa"/>
          </w:tcPr>
          <w:p w14:paraId="0351E512"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6.25</w:t>
            </w:r>
          </w:p>
        </w:tc>
        <w:tc>
          <w:tcPr>
            <w:tcW w:w="1226" w:type="dxa"/>
          </w:tcPr>
          <w:p w14:paraId="77CDA360" w14:textId="77777777" w:rsidR="00D6590C" w:rsidRDefault="00D6590C" w:rsidP="00A625E0">
            <w:pPr>
              <w:spacing w:line="360" w:lineRule="auto"/>
              <w:jc w:val="center"/>
              <w:rPr>
                <w:rFonts w:ascii="Times New Roman" w:eastAsia="Times New Roman" w:hAnsi="Times New Roman" w:cs="Times New Roman"/>
              </w:rPr>
            </w:pPr>
            <w:r>
              <w:rPr>
                <w:rFonts w:ascii="Times New Roman" w:eastAsia="Times New Roman" w:hAnsi="Times New Roman" w:cs="Times New Roman"/>
              </w:rPr>
              <w:t>2.75</w:t>
            </w:r>
          </w:p>
        </w:tc>
      </w:tr>
    </w:tbl>
    <w:p w14:paraId="021C69FB" w14:textId="4945E084" w:rsidR="00D6590C" w:rsidRDefault="00D6590C" w:rsidP="00D6590C">
      <w:pPr>
        <w:spacing w:after="0"/>
        <w:rPr>
          <w:rFonts w:ascii="Times New Roman" w:eastAsia="Times New Roman" w:hAnsi="Times New Roman" w:cs="Times New Roman"/>
        </w:rPr>
      </w:pPr>
      <w:r>
        <w:tab/>
      </w:r>
      <w:r w:rsidR="00A625E0">
        <w:t xml:space="preserve">NB: </w:t>
      </w:r>
      <w:r>
        <w:rPr>
          <w:rFonts w:ascii="Times New Roman" w:eastAsia="Times New Roman" w:hAnsi="Times New Roman" w:cs="Times New Roman"/>
        </w:rPr>
        <w:t xml:space="preserve">DM2 and </w:t>
      </w:r>
      <w:proofErr w:type="spellStart"/>
      <w:r>
        <w:rPr>
          <w:rFonts w:ascii="Times New Roman" w:eastAsia="Times New Roman" w:hAnsi="Times New Roman" w:cs="Times New Roman"/>
        </w:rPr>
        <w:t>DM3</w:t>
      </w:r>
      <w:proofErr w:type="spellEnd"/>
      <w:r>
        <w:rPr>
          <w:rFonts w:ascii="Times New Roman" w:eastAsia="Times New Roman" w:hAnsi="Times New Roman" w:cs="Times New Roman"/>
        </w:rPr>
        <w:t xml:space="preserve"> are Doma clays, while LF1 and LF2 are Lafia clays.</w:t>
      </w:r>
    </w:p>
    <w:p w14:paraId="656CBC97" w14:textId="4F6220A4" w:rsidR="00661697" w:rsidRDefault="00D6590C" w:rsidP="003E5EF9">
      <w:pPr>
        <w:spacing w:before="240" w:after="0" w:line="360" w:lineRule="auto"/>
        <w:rPr>
          <w:rFonts w:ascii="Times New Roman" w:eastAsia="Times New Roman" w:hAnsi="Times New Roman" w:cs="Times New Roman"/>
        </w:rPr>
      </w:pPr>
      <w:r>
        <w:rPr>
          <w:rFonts w:ascii="Times New Roman" w:eastAsia="Times New Roman" w:hAnsi="Times New Roman" w:cs="Times New Roman"/>
        </w:rPr>
        <w:t>The oxide compositions of the clay samples, as presented in Table 2, show that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are the dominant oxides, followed by a significant concentration of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Other oxides, such as TiO</w:t>
      </w:r>
      <w:r>
        <w:rPr>
          <w:rFonts w:ascii="Times New Roman" w:eastAsia="Times New Roman" w:hAnsi="Times New Roman" w:cs="Times New Roman"/>
          <w:vertAlign w:val="subscript"/>
        </w:rPr>
        <w:t>2</w:t>
      </w:r>
      <w:r>
        <w:rPr>
          <w:rFonts w:ascii="Times New Roman" w:eastAsia="Times New Roman" w:hAnsi="Times New Roman" w:cs="Times New Roman"/>
        </w:rPr>
        <w:t>, CaO, K</w:t>
      </w:r>
      <w:r>
        <w:rPr>
          <w:rFonts w:ascii="Times New Roman" w:eastAsia="Times New Roman" w:hAnsi="Times New Roman" w:cs="Times New Roman"/>
          <w:vertAlign w:val="subscript"/>
        </w:rPr>
        <w:t>2</w:t>
      </w:r>
      <w:r>
        <w:rPr>
          <w:rFonts w:ascii="Times New Roman" w:eastAsia="Times New Roman" w:hAnsi="Times New Roman" w:cs="Times New Roman"/>
        </w:rPr>
        <w:t>O, MnO, and MgO, were present in small quantities, although one clay sample from Doma exhibits relatively elevated MgO compared to the other analyzed samples. The concentration of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ranges from 45.55 wt% to 52.73 wt% with a mean value of 49.47 wt%.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has a range of concentrations between 24.01 wt% and 44.87 wt%, with an average of 37.18 wt%.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and TiO</w:t>
      </w:r>
      <w:r>
        <w:rPr>
          <w:rFonts w:ascii="Times New Roman" w:eastAsia="Times New Roman" w:hAnsi="Times New Roman" w:cs="Times New Roman"/>
          <w:vertAlign w:val="subscript"/>
        </w:rPr>
        <w:t xml:space="preserve">2 </w:t>
      </w:r>
      <w:r>
        <w:rPr>
          <w:rFonts w:ascii="Times New Roman" w:eastAsia="Times New Roman" w:hAnsi="Times New Roman" w:cs="Times New Roman"/>
        </w:rPr>
        <w:t>have little</w:t>
      </w:r>
      <w:r w:rsidR="003E5EF9">
        <w:rPr>
          <w:rFonts w:ascii="Times New Roman" w:eastAsia="Times New Roman" w:hAnsi="Times New Roman" w:cs="Times New Roman"/>
        </w:rPr>
        <w:t xml:space="preserve"> </w:t>
      </w:r>
      <w:r>
        <w:rPr>
          <w:rFonts w:ascii="Times New Roman" w:eastAsia="Times New Roman" w:hAnsi="Times New Roman" w:cs="Times New Roman"/>
        </w:rPr>
        <w:t>significance, with concentrations of 3.95 and 2.04 wt%, respectively. Other oxides have a concentration of less than 1.5 wt%. There is noticeable variation in the concentration of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in the Doma and Lafia clay samples. Samples in the Doma area have higher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content compared to those in Lafia, while samples in Lafia have higher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content than the samples in Doma.</w:t>
      </w:r>
      <w:bookmarkStart w:id="4" w:name="_heading=h.kr99mzt2efbr" w:colFirst="0" w:colLast="0"/>
      <w:bookmarkEnd w:id="4"/>
    </w:p>
    <w:p w14:paraId="6D8B0148" w14:textId="033D6588" w:rsidR="00D6590C" w:rsidRDefault="00D6590C" w:rsidP="00D6590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Table 2. Major oxide compositions of clay deposits</w:t>
      </w:r>
    </w:p>
    <w:sdt>
      <w:sdtPr>
        <w:tag w:val="goog_rdk_0"/>
        <w:id w:val="-1160627282"/>
        <w:lock w:val="contentLocked"/>
      </w:sdtPr>
      <w:sdtContent>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6"/>
            <w:gridCol w:w="1039"/>
            <w:gridCol w:w="1039"/>
            <w:gridCol w:w="1039"/>
            <w:gridCol w:w="1039"/>
            <w:gridCol w:w="1039"/>
            <w:gridCol w:w="1039"/>
            <w:gridCol w:w="1039"/>
            <w:gridCol w:w="1039"/>
          </w:tblGrid>
          <w:tr w:rsidR="00D6590C" w14:paraId="79FD31F2" w14:textId="77777777" w:rsidTr="00F22F79">
            <w:tc>
              <w:tcPr>
                <w:tcW w:w="1037" w:type="dxa"/>
                <w:vMerge w:val="restart"/>
              </w:tcPr>
              <w:p w14:paraId="08BD188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Oxides</w:t>
                </w:r>
              </w:p>
              <w:p w14:paraId="59629FC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(wt%)</w:t>
                </w:r>
              </w:p>
            </w:tc>
            <w:tc>
              <w:tcPr>
                <w:tcW w:w="4156" w:type="dxa"/>
                <w:gridSpan w:val="4"/>
              </w:tcPr>
              <w:p w14:paraId="379859A1" w14:textId="77777777" w:rsidR="00D6590C" w:rsidRDefault="00D6590C" w:rsidP="00F22F79">
                <w:pPr>
                  <w:spacing w:line="360" w:lineRule="auto"/>
                  <w:jc w:val="center"/>
                  <w:rPr>
                    <w:rFonts w:ascii="Times New Roman" w:eastAsia="Times New Roman" w:hAnsi="Times New Roman" w:cs="Times New Roman"/>
                  </w:rPr>
                </w:pPr>
                <w:r>
                  <w:rPr>
                    <w:rFonts w:ascii="Times New Roman" w:eastAsia="Times New Roman" w:hAnsi="Times New Roman" w:cs="Times New Roman"/>
                  </w:rPr>
                  <w:t>Doma clay</w:t>
                </w:r>
              </w:p>
            </w:tc>
            <w:tc>
              <w:tcPr>
                <w:tcW w:w="4156" w:type="dxa"/>
                <w:gridSpan w:val="4"/>
              </w:tcPr>
              <w:p w14:paraId="6AB34223" w14:textId="77777777" w:rsidR="00D6590C" w:rsidRDefault="00D6590C" w:rsidP="00F22F79">
                <w:pPr>
                  <w:spacing w:line="360" w:lineRule="auto"/>
                  <w:jc w:val="center"/>
                  <w:rPr>
                    <w:rFonts w:ascii="Times New Roman" w:eastAsia="Times New Roman" w:hAnsi="Times New Roman" w:cs="Times New Roman"/>
                  </w:rPr>
                </w:pPr>
                <w:r>
                  <w:rPr>
                    <w:rFonts w:ascii="Times New Roman" w:eastAsia="Times New Roman" w:hAnsi="Times New Roman" w:cs="Times New Roman"/>
                  </w:rPr>
                  <w:t>Lafia clay</w:t>
                </w:r>
              </w:p>
            </w:tc>
          </w:tr>
          <w:tr w:rsidR="00D6590C" w14:paraId="56E89D9C" w14:textId="77777777" w:rsidTr="00F22F79">
            <w:tc>
              <w:tcPr>
                <w:tcW w:w="1037" w:type="dxa"/>
                <w:vMerge/>
              </w:tcPr>
              <w:p w14:paraId="01720D13" w14:textId="77777777" w:rsidR="00D6590C" w:rsidRDefault="00D6590C" w:rsidP="00F22F79">
                <w:pPr>
                  <w:widowControl w:val="0"/>
                  <w:pBdr>
                    <w:top w:val="nil"/>
                    <w:left w:val="nil"/>
                    <w:bottom w:val="nil"/>
                    <w:right w:val="nil"/>
                    <w:between w:val="nil"/>
                  </w:pBdr>
                  <w:rPr>
                    <w:rFonts w:ascii="Times New Roman" w:eastAsia="Times New Roman" w:hAnsi="Times New Roman" w:cs="Times New Roman"/>
                  </w:rPr>
                </w:pPr>
              </w:p>
            </w:tc>
            <w:tc>
              <w:tcPr>
                <w:tcW w:w="1039" w:type="dxa"/>
              </w:tcPr>
              <w:p w14:paraId="0F6C44A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Min</w:t>
                </w:r>
              </w:p>
            </w:tc>
            <w:tc>
              <w:tcPr>
                <w:tcW w:w="1039" w:type="dxa"/>
              </w:tcPr>
              <w:p w14:paraId="4791AD3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Max</w:t>
                </w:r>
              </w:p>
            </w:tc>
            <w:tc>
              <w:tcPr>
                <w:tcW w:w="1039" w:type="dxa"/>
              </w:tcPr>
              <w:p w14:paraId="3AAE8BA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Average</w:t>
                </w:r>
              </w:p>
            </w:tc>
            <w:tc>
              <w:tcPr>
                <w:tcW w:w="1039" w:type="dxa"/>
              </w:tcPr>
              <w:p w14:paraId="552F78A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Stdev.</w:t>
                </w:r>
              </w:p>
            </w:tc>
            <w:tc>
              <w:tcPr>
                <w:tcW w:w="1039" w:type="dxa"/>
              </w:tcPr>
              <w:p w14:paraId="19347E5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Min</w:t>
                </w:r>
              </w:p>
            </w:tc>
            <w:tc>
              <w:tcPr>
                <w:tcW w:w="1039" w:type="dxa"/>
              </w:tcPr>
              <w:p w14:paraId="0DE01AD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Max</w:t>
                </w:r>
              </w:p>
            </w:tc>
            <w:tc>
              <w:tcPr>
                <w:tcW w:w="1039" w:type="dxa"/>
              </w:tcPr>
              <w:p w14:paraId="6971686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Average</w:t>
                </w:r>
              </w:p>
            </w:tc>
            <w:tc>
              <w:tcPr>
                <w:tcW w:w="1039" w:type="dxa"/>
              </w:tcPr>
              <w:p w14:paraId="3EBF95F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Stdev.</w:t>
                </w:r>
              </w:p>
            </w:tc>
          </w:tr>
          <w:tr w:rsidR="00D6590C" w14:paraId="0125E516" w14:textId="77777777" w:rsidTr="00F22F79">
            <w:tc>
              <w:tcPr>
                <w:tcW w:w="1037" w:type="dxa"/>
              </w:tcPr>
              <w:p w14:paraId="34F3600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SiO</w:t>
                </w:r>
                <w:r>
                  <w:rPr>
                    <w:rFonts w:ascii="Times New Roman" w:eastAsia="Times New Roman" w:hAnsi="Times New Roman" w:cs="Times New Roman"/>
                    <w:vertAlign w:val="subscript"/>
                  </w:rPr>
                  <w:t>2</w:t>
                </w:r>
              </w:p>
            </w:tc>
            <w:tc>
              <w:tcPr>
                <w:tcW w:w="1039" w:type="dxa"/>
              </w:tcPr>
              <w:p w14:paraId="77B8F8F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46.20</w:t>
                </w:r>
              </w:p>
            </w:tc>
            <w:tc>
              <w:tcPr>
                <w:tcW w:w="1039" w:type="dxa"/>
              </w:tcPr>
              <w:p w14:paraId="0E34DE1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52.73</w:t>
                </w:r>
              </w:p>
            </w:tc>
            <w:tc>
              <w:tcPr>
                <w:tcW w:w="1039" w:type="dxa"/>
              </w:tcPr>
              <w:p w14:paraId="1D38429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49.30</w:t>
                </w:r>
              </w:p>
            </w:tc>
            <w:tc>
              <w:tcPr>
                <w:tcW w:w="1039" w:type="dxa"/>
              </w:tcPr>
              <w:p w14:paraId="125E68F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2.48</w:t>
                </w:r>
              </w:p>
            </w:tc>
            <w:tc>
              <w:tcPr>
                <w:tcW w:w="1039" w:type="dxa"/>
              </w:tcPr>
              <w:p w14:paraId="4AEE106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45.55</w:t>
                </w:r>
              </w:p>
            </w:tc>
            <w:tc>
              <w:tcPr>
                <w:tcW w:w="1039" w:type="dxa"/>
              </w:tcPr>
              <w:p w14:paraId="29F8AB4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52.13</w:t>
                </w:r>
              </w:p>
            </w:tc>
            <w:tc>
              <w:tcPr>
                <w:tcW w:w="1039" w:type="dxa"/>
              </w:tcPr>
              <w:p w14:paraId="43D02E9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49.63</w:t>
                </w:r>
              </w:p>
            </w:tc>
            <w:tc>
              <w:tcPr>
                <w:tcW w:w="1039" w:type="dxa"/>
              </w:tcPr>
              <w:p w14:paraId="2498489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2.66</w:t>
                </w:r>
              </w:p>
            </w:tc>
          </w:tr>
          <w:tr w:rsidR="00D6590C" w14:paraId="0AF16BEE" w14:textId="77777777" w:rsidTr="00F22F79">
            <w:tc>
              <w:tcPr>
                <w:tcW w:w="1037" w:type="dxa"/>
              </w:tcPr>
              <w:p w14:paraId="25D225C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Na</w:t>
                </w:r>
                <w:r>
                  <w:rPr>
                    <w:rFonts w:ascii="Times New Roman" w:eastAsia="Times New Roman" w:hAnsi="Times New Roman" w:cs="Times New Roman"/>
                    <w:vertAlign w:val="subscript"/>
                  </w:rPr>
                  <w:t>2</w:t>
                </w:r>
                <w:r>
                  <w:rPr>
                    <w:rFonts w:ascii="Times New Roman" w:eastAsia="Times New Roman" w:hAnsi="Times New Roman" w:cs="Times New Roman"/>
                  </w:rPr>
                  <w:t>O</w:t>
                </w:r>
              </w:p>
            </w:tc>
            <w:tc>
              <w:tcPr>
                <w:tcW w:w="1039" w:type="dxa"/>
              </w:tcPr>
              <w:p w14:paraId="09FF2FC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0.18</w:t>
                </w:r>
              </w:p>
            </w:tc>
            <w:tc>
              <w:tcPr>
                <w:tcW w:w="1039" w:type="dxa"/>
              </w:tcPr>
              <w:p w14:paraId="1DD8183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0.45</w:t>
                </w:r>
              </w:p>
            </w:tc>
            <w:tc>
              <w:tcPr>
                <w:tcW w:w="1039" w:type="dxa"/>
              </w:tcPr>
              <w:p w14:paraId="06265D1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0.28</w:t>
                </w:r>
              </w:p>
            </w:tc>
            <w:tc>
              <w:tcPr>
                <w:tcW w:w="1039" w:type="dxa"/>
              </w:tcPr>
              <w:p w14:paraId="08CE591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0.11</w:t>
                </w:r>
              </w:p>
            </w:tc>
            <w:tc>
              <w:tcPr>
                <w:tcW w:w="1039" w:type="dxa"/>
              </w:tcPr>
              <w:p w14:paraId="6F3DAB9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0.21</w:t>
                </w:r>
              </w:p>
            </w:tc>
            <w:tc>
              <w:tcPr>
                <w:tcW w:w="1039" w:type="dxa"/>
              </w:tcPr>
              <w:p w14:paraId="2BED110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0.55</w:t>
                </w:r>
              </w:p>
            </w:tc>
            <w:tc>
              <w:tcPr>
                <w:tcW w:w="1039" w:type="dxa"/>
              </w:tcPr>
              <w:p w14:paraId="40B2B56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0.43</w:t>
                </w:r>
              </w:p>
            </w:tc>
            <w:tc>
              <w:tcPr>
                <w:tcW w:w="1039" w:type="dxa"/>
              </w:tcPr>
              <w:p w14:paraId="22E6CA7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0.13</w:t>
                </w:r>
              </w:p>
            </w:tc>
          </w:tr>
          <w:tr w:rsidR="00D6590C" w14:paraId="5C142E7F" w14:textId="77777777" w:rsidTr="00F22F79">
            <w:tc>
              <w:tcPr>
                <w:tcW w:w="1037" w:type="dxa"/>
              </w:tcPr>
              <w:p w14:paraId="6AC64E3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MgO</w:t>
                </w:r>
              </w:p>
            </w:tc>
            <w:tc>
              <w:tcPr>
                <w:tcW w:w="1039" w:type="dxa"/>
              </w:tcPr>
              <w:p w14:paraId="54B496F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0.21</w:t>
                </w:r>
              </w:p>
            </w:tc>
            <w:tc>
              <w:tcPr>
                <w:tcW w:w="1039" w:type="dxa"/>
              </w:tcPr>
              <w:p w14:paraId="2F11222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4.32</w:t>
                </w:r>
              </w:p>
            </w:tc>
            <w:tc>
              <w:tcPr>
                <w:tcW w:w="1039" w:type="dxa"/>
              </w:tcPr>
              <w:p w14:paraId="3F572AF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1.61</w:t>
                </w:r>
              </w:p>
            </w:tc>
            <w:tc>
              <w:tcPr>
                <w:tcW w:w="1039" w:type="dxa"/>
              </w:tcPr>
              <w:p w14:paraId="0E195EC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1.58</w:t>
                </w:r>
              </w:p>
            </w:tc>
            <w:tc>
              <w:tcPr>
                <w:tcW w:w="1039" w:type="dxa"/>
              </w:tcPr>
              <w:p w14:paraId="7E554EC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0.42</w:t>
                </w:r>
              </w:p>
            </w:tc>
            <w:tc>
              <w:tcPr>
                <w:tcW w:w="1039" w:type="dxa"/>
              </w:tcPr>
              <w:p w14:paraId="29BC36B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1.12</w:t>
                </w:r>
              </w:p>
            </w:tc>
            <w:tc>
              <w:tcPr>
                <w:tcW w:w="1039" w:type="dxa"/>
              </w:tcPr>
              <w:p w14:paraId="348C895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0.75</w:t>
                </w:r>
              </w:p>
            </w:tc>
            <w:tc>
              <w:tcPr>
                <w:tcW w:w="1039" w:type="dxa"/>
              </w:tcPr>
              <w:p w14:paraId="0E7C92B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0.29</w:t>
                </w:r>
              </w:p>
            </w:tc>
          </w:tr>
          <w:tr w:rsidR="00D6590C" w14:paraId="27E0819F" w14:textId="77777777" w:rsidTr="00F22F79">
            <w:tc>
              <w:tcPr>
                <w:tcW w:w="1037" w:type="dxa"/>
              </w:tcPr>
              <w:p w14:paraId="0D489FB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p>
            </w:tc>
            <w:tc>
              <w:tcPr>
                <w:tcW w:w="1039" w:type="dxa"/>
              </w:tcPr>
              <w:p w14:paraId="3623362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6.66</w:t>
                </w:r>
              </w:p>
            </w:tc>
            <w:tc>
              <w:tcPr>
                <w:tcW w:w="1039" w:type="dxa"/>
              </w:tcPr>
              <w:p w14:paraId="7FE20CE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17.28</w:t>
                </w:r>
              </w:p>
            </w:tc>
            <w:tc>
              <w:tcPr>
                <w:tcW w:w="1039" w:type="dxa"/>
              </w:tcPr>
              <w:p w14:paraId="1E15C85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10.47</w:t>
                </w:r>
              </w:p>
            </w:tc>
            <w:tc>
              <w:tcPr>
                <w:tcW w:w="1039" w:type="dxa"/>
              </w:tcPr>
              <w:p w14:paraId="44B49EE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4.47</w:t>
                </w:r>
              </w:p>
            </w:tc>
            <w:tc>
              <w:tcPr>
                <w:tcW w:w="1039" w:type="dxa"/>
              </w:tcPr>
              <w:p w14:paraId="60400AA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2.55</w:t>
                </w:r>
              </w:p>
            </w:tc>
            <w:tc>
              <w:tcPr>
                <w:tcW w:w="1039" w:type="dxa"/>
              </w:tcPr>
              <w:p w14:paraId="13E6B97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5.12</w:t>
                </w:r>
              </w:p>
            </w:tc>
            <w:tc>
              <w:tcPr>
                <w:tcW w:w="1039" w:type="dxa"/>
              </w:tcPr>
              <w:p w14:paraId="1565AE3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3.95</w:t>
                </w:r>
              </w:p>
            </w:tc>
            <w:tc>
              <w:tcPr>
                <w:tcW w:w="1039" w:type="dxa"/>
              </w:tcPr>
              <w:p w14:paraId="78D8953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0.96</w:t>
                </w:r>
              </w:p>
            </w:tc>
          </w:tr>
          <w:tr w:rsidR="00D6590C" w14:paraId="425737A4" w14:textId="77777777" w:rsidTr="00F22F79">
            <w:tc>
              <w:tcPr>
                <w:tcW w:w="1037" w:type="dxa"/>
              </w:tcPr>
              <w:p w14:paraId="6AD97E4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CaO</w:t>
                </w:r>
              </w:p>
            </w:tc>
            <w:tc>
              <w:tcPr>
                <w:tcW w:w="1039" w:type="dxa"/>
              </w:tcPr>
              <w:p w14:paraId="34CF9CD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0.11</w:t>
                </w:r>
              </w:p>
            </w:tc>
            <w:tc>
              <w:tcPr>
                <w:tcW w:w="1039" w:type="dxa"/>
              </w:tcPr>
              <w:p w14:paraId="1BC03BD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0.93</w:t>
                </w:r>
              </w:p>
            </w:tc>
            <w:tc>
              <w:tcPr>
                <w:tcW w:w="1039" w:type="dxa"/>
              </w:tcPr>
              <w:p w14:paraId="38C59F1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0.55</w:t>
                </w:r>
              </w:p>
            </w:tc>
            <w:tc>
              <w:tcPr>
                <w:tcW w:w="1039" w:type="dxa"/>
              </w:tcPr>
              <w:p w14:paraId="107547B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0.31</w:t>
                </w:r>
              </w:p>
            </w:tc>
            <w:tc>
              <w:tcPr>
                <w:tcW w:w="1039" w:type="dxa"/>
              </w:tcPr>
              <w:p w14:paraId="7E4C215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0.20</w:t>
                </w:r>
              </w:p>
            </w:tc>
            <w:tc>
              <w:tcPr>
                <w:tcW w:w="1039" w:type="dxa"/>
              </w:tcPr>
              <w:p w14:paraId="49A746B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0.78</w:t>
                </w:r>
              </w:p>
            </w:tc>
            <w:tc>
              <w:tcPr>
                <w:tcW w:w="1039" w:type="dxa"/>
              </w:tcPr>
              <w:p w14:paraId="314FD08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0.39</w:t>
                </w:r>
              </w:p>
            </w:tc>
            <w:tc>
              <w:tcPr>
                <w:tcW w:w="1039" w:type="dxa"/>
              </w:tcPr>
              <w:p w14:paraId="5E00089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0.22</w:t>
                </w:r>
              </w:p>
            </w:tc>
          </w:tr>
          <w:tr w:rsidR="00D6590C" w14:paraId="6881F192" w14:textId="77777777" w:rsidTr="00F22F79">
            <w:tc>
              <w:tcPr>
                <w:tcW w:w="1037" w:type="dxa"/>
              </w:tcPr>
              <w:p w14:paraId="26FE68C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p>
            </w:tc>
            <w:tc>
              <w:tcPr>
                <w:tcW w:w="1039" w:type="dxa"/>
              </w:tcPr>
              <w:p w14:paraId="090701E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24.01</w:t>
                </w:r>
              </w:p>
            </w:tc>
            <w:tc>
              <w:tcPr>
                <w:tcW w:w="1039" w:type="dxa"/>
              </w:tcPr>
              <w:p w14:paraId="6CE0995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38.44</w:t>
                </w:r>
              </w:p>
            </w:tc>
            <w:tc>
              <w:tcPr>
                <w:tcW w:w="1039" w:type="dxa"/>
              </w:tcPr>
              <w:p w14:paraId="7F676EB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32.71</w:t>
                </w:r>
              </w:p>
            </w:tc>
            <w:tc>
              <w:tcPr>
                <w:tcW w:w="1039" w:type="dxa"/>
              </w:tcPr>
              <w:p w14:paraId="3E0ECFF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5.59</w:t>
                </w:r>
              </w:p>
            </w:tc>
            <w:tc>
              <w:tcPr>
                <w:tcW w:w="1039" w:type="dxa"/>
              </w:tcPr>
              <w:p w14:paraId="594D628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40.05</w:t>
                </w:r>
              </w:p>
            </w:tc>
            <w:tc>
              <w:tcPr>
                <w:tcW w:w="1039" w:type="dxa"/>
              </w:tcPr>
              <w:p w14:paraId="08CA353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44.87</w:t>
                </w:r>
              </w:p>
            </w:tc>
            <w:tc>
              <w:tcPr>
                <w:tcW w:w="1039" w:type="dxa"/>
              </w:tcPr>
              <w:p w14:paraId="5068DDE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41.64</w:t>
                </w:r>
              </w:p>
            </w:tc>
            <w:tc>
              <w:tcPr>
                <w:tcW w:w="1039" w:type="dxa"/>
              </w:tcPr>
              <w:p w14:paraId="62155C4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1.95</w:t>
                </w:r>
              </w:p>
            </w:tc>
          </w:tr>
          <w:tr w:rsidR="00D6590C" w14:paraId="45998F72" w14:textId="77777777" w:rsidTr="00F22F79">
            <w:tc>
              <w:tcPr>
                <w:tcW w:w="1037" w:type="dxa"/>
              </w:tcPr>
              <w:p w14:paraId="5C1D6FD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K</w:t>
                </w:r>
                <w:r>
                  <w:rPr>
                    <w:rFonts w:ascii="Times New Roman" w:eastAsia="Times New Roman" w:hAnsi="Times New Roman" w:cs="Times New Roman"/>
                    <w:vertAlign w:val="subscript"/>
                  </w:rPr>
                  <w:t>2</w:t>
                </w:r>
                <w:r>
                  <w:rPr>
                    <w:rFonts w:ascii="Times New Roman" w:eastAsia="Times New Roman" w:hAnsi="Times New Roman" w:cs="Times New Roman"/>
                  </w:rPr>
                  <w:t>O</w:t>
                </w:r>
              </w:p>
            </w:tc>
            <w:tc>
              <w:tcPr>
                <w:tcW w:w="1039" w:type="dxa"/>
              </w:tcPr>
              <w:p w14:paraId="70576F7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0.55</w:t>
                </w:r>
              </w:p>
            </w:tc>
            <w:tc>
              <w:tcPr>
                <w:tcW w:w="1039" w:type="dxa"/>
              </w:tcPr>
              <w:p w14:paraId="655C914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2.1</w:t>
                </w:r>
              </w:p>
            </w:tc>
            <w:tc>
              <w:tcPr>
                <w:tcW w:w="1039" w:type="dxa"/>
              </w:tcPr>
              <w:p w14:paraId="2B3D673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1.47</w:t>
                </w:r>
              </w:p>
            </w:tc>
            <w:tc>
              <w:tcPr>
                <w:tcW w:w="1039" w:type="dxa"/>
              </w:tcPr>
              <w:p w14:paraId="6DADABC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0.63</w:t>
                </w:r>
              </w:p>
            </w:tc>
            <w:tc>
              <w:tcPr>
                <w:tcW w:w="1039" w:type="dxa"/>
              </w:tcPr>
              <w:p w14:paraId="3AA4DD3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0.32</w:t>
                </w:r>
              </w:p>
            </w:tc>
            <w:tc>
              <w:tcPr>
                <w:tcW w:w="1039" w:type="dxa"/>
              </w:tcPr>
              <w:p w14:paraId="61C7900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1.71</w:t>
                </w:r>
              </w:p>
            </w:tc>
            <w:tc>
              <w:tcPr>
                <w:tcW w:w="1039" w:type="dxa"/>
              </w:tcPr>
              <w:p w14:paraId="3FED187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0.80</w:t>
                </w:r>
              </w:p>
            </w:tc>
            <w:tc>
              <w:tcPr>
                <w:tcW w:w="1039" w:type="dxa"/>
              </w:tcPr>
              <w:p w14:paraId="05D132E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0.53</w:t>
                </w:r>
              </w:p>
            </w:tc>
          </w:tr>
          <w:tr w:rsidR="00D6590C" w14:paraId="507AEDFF" w14:textId="77777777" w:rsidTr="00F22F79">
            <w:tc>
              <w:tcPr>
                <w:tcW w:w="1037" w:type="dxa"/>
              </w:tcPr>
              <w:p w14:paraId="2F20DA9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MnO</w:t>
                </w:r>
              </w:p>
            </w:tc>
            <w:tc>
              <w:tcPr>
                <w:tcW w:w="1039" w:type="dxa"/>
              </w:tcPr>
              <w:p w14:paraId="1A6F767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0.04</w:t>
                </w:r>
              </w:p>
            </w:tc>
            <w:tc>
              <w:tcPr>
                <w:tcW w:w="1039" w:type="dxa"/>
              </w:tcPr>
              <w:p w14:paraId="4120FE1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0.09</w:t>
                </w:r>
              </w:p>
            </w:tc>
            <w:tc>
              <w:tcPr>
                <w:tcW w:w="1039" w:type="dxa"/>
              </w:tcPr>
              <w:p w14:paraId="29BF7A3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0.06</w:t>
                </w:r>
              </w:p>
            </w:tc>
            <w:tc>
              <w:tcPr>
                <w:tcW w:w="1039" w:type="dxa"/>
              </w:tcPr>
              <w:p w14:paraId="31BF5D2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0.02</w:t>
                </w:r>
              </w:p>
            </w:tc>
            <w:tc>
              <w:tcPr>
                <w:tcW w:w="1039" w:type="dxa"/>
              </w:tcPr>
              <w:p w14:paraId="15647EB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0.04</w:t>
                </w:r>
              </w:p>
            </w:tc>
            <w:tc>
              <w:tcPr>
                <w:tcW w:w="1039" w:type="dxa"/>
              </w:tcPr>
              <w:p w14:paraId="4B5E60D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0.07</w:t>
                </w:r>
              </w:p>
            </w:tc>
            <w:tc>
              <w:tcPr>
                <w:tcW w:w="1039" w:type="dxa"/>
              </w:tcPr>
              <w:p w14:paraId="7EB5E59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0.05</w:t>
                </w:r>
              </w:p>
            </w:tc>
            <w:tc>
              <w:tcPr>
                <w:tcW w:w="1039" w:type="dxa"/>
              </w:tcPr>
              <w:p w14:paraId="233557E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0.01</w:t>
                </w:r>
              </w:p>
            </w:tc>
          </w:tr>
          <w:tr w:rsidR="00D6590C" w14:paraId="1C995240" w14:textId="77777777" w:rsidTr="00F22F79">
            <w:tc>
              <w:tcPr>
                <w:tcW w:w="1037" w:type="dxa"/>
              </w:tcPr>
              <w:p w14:paraId="170933B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TiO</w:t>
                </w:r>
                <w:r>
                  <w:rPr>
                    <w:rFonts w:ascii="Times New Roman" w:eastAsia="Times New Roman" w:hAnsi="Times New Roman" w:cs="Times New Roman"/>
                    <w:vertAlign w:val="subscript"/>
                  </w:rPr>
                  <w:t>2</w:t>
                </w:r>
              </w:p>
            </w:tc>
            <w:tc>
              <w:tcPr>
                <w:tcW w:w="1039" w:type="dxa"/>
              </w:tcPr>
              <w:p w14:paraId="5712CD4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1.85</w:t>
                </w:r>
              </w:p>
            </w:tc>
            <w:tc>
              <w:tcPr>
                <w:tcW w:w="1039" w:type="dxa"/>
              </w:tcPr>
              <w:p w14:paraId="0759DAB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4.384</w:t>
                </w:r>
              </w:p>
            </w:tc>
            <w:tc>
              <w:tcPr>
                <w:tcW w:w="1039" w:type="dxa"/>
              </w:tcPr>
              <w:p w14:paraId="1D2746C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2.91</w:t>
                </w:r>
              </w:p>
            </w:tc>
            <w:tc>
              <w:tcPr>
                <w:tcW w:w="1039" w:type="dxa"/>
              </w:tcPr>
              <w:p w14:paraId="06D282D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1.15</w:t>
                </w:r>
              </w:p>
            </w:tc>
            <w:tc>
              <w:tcPr>
                <w:tcW w:w="1039" w:type="dxa"/>
              </w:tcPr>
              <w:p w14:paraId="54F2C12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1.18</w:t>
                </w:r>
              </w:p>
            </w:tc>
            <w:tc>
              <w:tcPr>
                <w:tcW w:w="1039" w:type="dxa"/>
              </w:tcPr>
              <w:p w14:paraId="7FE80A5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2.80</w:t>
                </w:r>
              </w:p>
            </w:tc>
            <w:tc>
              <w:tcPr>
                <w:tcW w:w="1039" w:type="dxa"/>
              </w:tcPr>
              <w:p w14:paraId="03E0C4E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2.04</w:t>
                </w:r>
              </w:p>
            </w:tc>
            <w:tc>
              <w:tcPr>
                <w:tcW w:w="1039" w:type="dxa"/>
              </w:tcPr>
              <w:p w14:paraId="60EDC48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0.77</w:t>
                </w:r>
              </w:p>
            </w:tc>
          </w:tr>
          <w:tr w:rsidR="00D6590C" w14:paraId="0FF32B4E" w14:textId="77777777" w:rsidTr="00F22F79">
            <w:tc>
              <w:tcPr>
                <w:tcW w:w="1037" w:type="dxa"/>
              </w:tcPr>
              <w:p w14:paraId="40F5279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SO</w:t>
                </w:r>
                <w:r>
                  <w:rPr>
                    <w:rFonts w:ascii="Times New Roman" w:eastAsia="Times New Roman" w:hAnsi="Times New Roman" w:cs="Times New Roman"/>
                    <w:vertAlign w:val="subscript"/>
                  </w:rPr>
                  <w:t>3</w:t>
                </w:r>
              </w:p>
            </w:tc>
            <w:tc>
              <w:tcPr>
                <w:tcW w:w="1039" w:type="dxa"/>
              </w:tcPr>
              <w:p w14:paraId="17FD54A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0.12</w:t>
                </w:r>
              </w:p>
            </w:tc>
            <w:tc>
              <w:tcPr>
                <w:tcW w:w="1039" w:type="dxa"/>
              </w:tcPr>
              <w:p w14:paraId="6CA5615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0.92</w:t>
                </w:r>
              </w:p>
            </w:tc>
            <w:tc>
              <w:tcPr>
                <w:tcW w:w="1039" w:type="dxa"/>
              </w:tcPr>
              <w:p w14:paraId="1F94E65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0.58</w:t>
                </w:r>
              </w:p>
            </w:tc>
            <w:tc>
              <w:tcPr>
                <w:tcW w:w="1039" w:type="dxa"/>
              </w:tcPr>
              <w:p w14:paraId="2E55118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0.33</w:t>
                </w:r>
              </w:p>
            </w:tc>
            <w:tc>
              <w:tcPr>
                <w:tcW w:w="1039" w:type="dxa"/>
              </w:tcPr>
              <w:p w14:paraId="108E99A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0.05</w:t>
                </w:r>
              </w:p>
            </w:tc>
            <w:tc>
              <w:tcPr>
                <w:tcW w:w="1039" w:type="dxa"/>
              </w:tcPr>
              <w:p w14:paraId="49A8555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0.40</w:t>
                </w:r>
              </w:p>
            </w:tc>
            <w:tc>
              <w:tcPr>
                <w:tcW w:w="1039" w:type="dxa"/>
              </w:tcPr>
              <w:p w14:paraId="59DE7F4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0.28</w:t>
                </w:r>
              </w:p>
            </w:tc>
            <w:tc>
              <w:tcPr>
                <w:tcW w:w="1039" w:type="dxa"/>
              </w:tcPr>
              <w:p w14:paraId="47C5F27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0.15</w:t>
                </w:r>
              </w:p>
            </w:tc>
          </w:tr>
          <w:tr w:rsidR="00D6590C" w14:paraId="0DB0CF4D" w14:textId="77777777" w:rsidTr="00F22F79">
            <w:tc>
              <w:tcPr>
                <w:tcW w:w="1037" w:type="dxa"/>
              </w:tcPr>
              <w:p w14:paraId="7ED0F6A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P</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p>
            </w:tc>
            <w:tc>
              <w:tcPr>
                <w:tcW w:w="1039" w:type="dxa"/>
              </w:tcPr>
              <w:p w14:paraId="31940C3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0.00</w:t>
                </w:r>
              </w:p>
            </w:tc>
            <w:tc>
              <w:tcPr>
                <w:tcW w:w="1039" w:type="dxa"/>
              </w:tcPr>
              <w:p w14:paraId="17A44FE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0.03</w:t>
                </w:r>
              </w:p>
            </w:tc>
            <w:tc>
              <w:tcPr>
                <w:tcW w:w="1039" w:type="dxa"/>
              </w:tcPr>
              <w:p w14:paraId="159A08D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0.01</w:t>
                </w:r>
              </w:p>
            </w:tc>
            <w:tc>
              <w:tcPr>
                <w:tcW w:w="1039" w:type="dxa"/>
              </w:tcPr>
              <w:p w14:paraId="515100B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0.01</w:t>
                </w:r>
              </w:p>
            </w:tc>
            <w:tc>
              <w:tcPr>
                <w:tcW w:w="1039" w:type="dxa"/>
              </w:tcPr>
              <w:p w14:paraId="2B95F8BA"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0.00</w:t>
                </w:r>
              </w:p>
            </w:tc>
            <w:tc>
              <w:tcPr>
                <w:tcW w:w="1039" w:type="dxa"/>
              </w:tcPr>
              <w:p w14:paraId="3373B58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0.05</w:t>
                </w:r>
              </w:p>
            </w:tc>
            <w:tc>
              <w:tcPr>
                <w:tcW w:w="1039" w:type="dxa"/>
              </w:tcPr>
              <w:p w14:paraId="79082AE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0.03</w:t>
                </w:r>
              </w:p>
            </w:tc>
            <w:tc>
              <w:tcPr>
                <w:tcW w:w="1039" w:type="dxa"/>
              </w:tcPr>
              <w:p w14:paraId="49639DF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0.02</w:t>
                </w:r>
              </w:p>
            </w:tc>
          </w:tr>
          <w:tr w:rsidR="00D6590C" w14:paraId="1BB99AB4" w14:textId="77777777" w:rsidTr="00F22F79">
            <w:tc>
              <w:tcPr>
                <w:tcW w:w="1037" w:type="dxa"/>
              </w:tcPr>
              <w:p w14:paraId="530D6F0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CIA</w:t>
                </w:r>
              </w:p>
            </w:tc>
            <w:tc>
              <w:tcPr>
                <w:tcW w:w="1039" w:type="dxa"/>
              </w:tcPr>
              <w:p w14:paraId="45691FE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89.34</w:t>
                </w:r>
              </w:p>
            </w:tc>
            <w:tc>
              <w:tcPr>
                <w:tcW w:w="1039" w:type="dxa"/>
              </w:tcPr>
              <w:p w14:paraId="6CF9E23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96.61</w:t>
                </w:r>
              </w:p>
            </w:tc>
            <w:tc>
              <w:tcPr>
                <w:tcW w:w="1039" w:type="dxa"/>
              </w:tcPr>
              <w:p w14:paraId="496951F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92.75</w:t>
                </w:r>
              </w:p>
            </w:tc>
            <w:tc>
              <w:tcPr>
                <w:tcW w:w="1039" w:type="dxa"/>
              </w:tcPr>
              <w:p w14:paraId="687B65A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2.65</w:t>
                </w:r>
              </w:p>
            </w:tc>
            <w:tc>
              <w:tcPr>
                <w:tcW w:w="1039" w:type="dxa"/>
              </w:tcPr>
              <w:p w14:paraId="60F76C1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92.95</w:t>
                </w:r>
              </w:p>
            </w:tc>
            <w:tc>
              <w:tcPr>
                <w:tcW w:w="1039" w:type="dxa"/>
              </w:tcPr>
              <w:p w14:paraId="0EFB9A6F"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97.52</w:t>
                </w:r>
              </w:p>
            </w:tc>
            <w:tc>
              <w:tcPr>
                <w:tcW w:w="1039" w:type="dxa"/>
              </w:tcPr>
              <w:p w14:paraId="65605E8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95.19</w:t>
                </w:r>
              </w:p>
            </w:tc>
            <w:tc>
              <w:tcPr>
                <w:tcW w:w="1039" w:type="dxa"/>
              </w:tcPr>
              <w:p w14:paraId="3D164DF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1.63</w:t>
                </w:r>
              </w:p>
            </w:tc>
          </w:tr>
        </w:tbl>
      </w:sdtContent>
    </w:sdt>
    <w:p w14:paraId="3CE080E3" w14:textId="6EE0EAC2" w:rsidR="00661697" w:rsidRDefault="00D6590C" w:rsidP="003E5EF9">
      <w:pPr>
        <w:spacing w:before="240" w:after="0" w:line="360" w:lineRule="auto"/>
        <w:rPr>
          <w:rFonts w:ascii="Times New Roman" w:eastAsia="Times New Roman" w:hAnsi="Times New Roman" w:cs="Times New Roman"/>
        </w:rPr>
      </w:pPr>
      <w:r>
        <w:rPr>
          <w:rFonts w:ascii="Times New Roman" w:eastAsia="Times New Roman" w:hAnsi="Times New Roman" w:cs="Times New Roman"/>
        </w:rPr>
        <w:t xml:space="preserve">The grain size distribution of the clays (Table 3) shows that clay, silt, and sand grains in Doma clay have averages of 71 wt%, 8.8 wt%, and 20.2 wt%, respectively, while the Lafia clay has corresponding values of 74.2 wt%, 9.2 wt%, and 16.4 wt%, respectively. The Atterberg Limit Test result (Table 3) shows Lafia has average Liquid Limit (LL), Plastic Limit (PL), and Plasticity Index (PI) values of 53.76 %, 26.08 %, and 27.68 %, respectively. These corresponding values are lower in the clay samples of Doma, with values of 43.98 %, 20.74 %, and 23.24 %, respectively. </w:t>
      </w:r>
    </w:p>
    <w:p w14:paraId="115150DF" w14:textId="532E9394" w:rsidR="00D6590C" w:rsidRDefault="00D6590C" w:rsidP="00D6590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Table 3. Summary results of particle size and Atterberg limit test of clay samples</w:t>
      </w:r>
    </w:p>
    <w:tbl>
      <w:tblPr>
        <w:tblW w:w="93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5"/>
        <w:gridCol w:w="849"/>
        <w:gridCol w:w="849"/>
        <w:gridCol w:w="1073"/>
        <w:gridCol w:w="1069"/>
        <w:gridCol w:w="1014"/>
        <w:gridCol w:w="802"/>
        <w:gridCol w:w="1014"/>
        <w:gridCol w:w="1010"/>
      </w:tblGrid>
      <w:tr w:rsidR="00D6590C" w14:paraId="0B65E119" w14:textId="77777777" w:rsidTr="00D6590C">
        <w:trPr>
          <w:trHeight w:val="288"/>
          <w:jc w:val="center"/>
        </w:trPr>
        <w:tc>
          <w:tcPr>
            <w:tcW w:w="1635" w:type="dxa"/>
            <w:vMerge w:val="restart"/>
          </w:tcPr>
          <w:p w14:paraId="77982A7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Sample Code</w:t>
            </w:r>
          </w:p>
        </w:tc>
        <w:tc>
          <w:tcPr>
            <w:tcW w:w="3840" w:type="dxa"/>
            <w:gridSpan w:val="4"/>
          </w:tcPr>
          <w:p w14:paraId="23A10A1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Doma clay</w:t>
            </w:r>
          </w:p>
        </w:tc>
        <w:tc>
          <w:tcPr>
            <w:tcW w:w="3840" w:type="dxa"/>
            <w:gridSpan w:val="4"/>
          </w:tcPr>
          <w:p w14:paraId="740BFFE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Lafia clay</w:t>
            </w:r>
          </w:p>
        </w:tc>
      </w:tr>
      <w:tr w:rsidR="00D6590C" w14:paraId="2E56529E" w14:textId="77777777" w:rsidTr="00D6590C">
        <w:trPr>
          <w:trHeight w:val="288"/>
          <w:jc w:val="center"/>
        </w:trPr>
        <w:tc>
          <w:tcPr>
            <w:tcW w:w="1635" w:type="dxa"/>
            <w:vMerge/>
          </w:tcPr>
          <w:p w14:paraId="5E791FF9" w14:textId="77777777" w:rsidR="00D6590C" w:rsidRDefault="00D6590C" w:rsidP="00F22F79">
            <w:pPr>
              <w:widowControl w:val="0"/>
              <w:pBdr>
                <w:top w:val="nil"/>
                <w:left w:val="nil"/>
                <w:bottom w:val="nil"/>
                <w:right w:val="nil"/>
                <w:between w:val="nil"/>
              </w:pBdr>
              <w:rPr>
                <w:rFonts w:ascii="Times New Roman" w:eastAsia="Times New Roman" w:hAnsi="Times New Roman" w:cs="Times New Roman"/>
              </w:rPr>
            </w:pPr>
          </w:p>
        </w:tc>
        <w:tc>
          <w:tcPr>
            <w:tcW w:w="849" w:type="dxa"/>
          </w:tcPr>
          <w:p w14:paraId="67CC6D8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Min</w:t>
            </w:r>
          </w:p>
        </w:tc>
        <w:tc>
          <w:tcPr>
            <w:tcW w:w="849" w:type="dxa"/>
          </w:tcPr>
          <w:p w14:paraId="28926DE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Max</w:t>
            </w:r>
          </w:p>
        </w:tc>
        <w:tc>
          <w:tcPr>
            <w:tcW w:w="1073" w:type="dxa"/>
          </w:tcPr>
          <w:p w14:paraId="148EB738"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Ave</w:t>
            </w:r>
          </w:p>
        </w:tc>
        <w:tc>
          <w:tcPr>
            <w:tcW w:w="1069" w:type="dxa"/>
          </w:tcPr>
          <w:p w14:paraId="4217AEB1"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Stdev</w:t>
            </w:r>
          </w:p>
        </w:tc>
        <w:tc>
          <w:tcPr>
            <w:tcW w:w="1014" w:type="dxa"/>
          </w:tcPr>
          <w:p w14:paraId="2195A3D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Min</w:t>
            </w:r>
          </w:p>
        </w:tc>
        <w:tc>
          <w:tcPr>
            <w:tcW w:w="802" w:type="dxa"/>
          </w:tcPr>
          <w:p w14:paraId="04BBBD1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Max</w:t>
            </w:r>
          </w:p>
        </w:tc>
        <w:tc>
          <w:tcPr>
            <w:tcW w:w="1014" w:type="dxa"/>
          </w:tcPr>
          <w:p w14:paraId="3151B52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Ave</w:t>
            </w:r>
          </w:p>
        </w:tc>
        <w:tc>
          <w:tcPr>
            <w:tcW w:w="1010" w:type="dxa"/>
          </w:tcPr>
          <w:p w14:paraId="269E9F6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Stdev</w:t>
            </w:r>
          </w:p>
        </w:tc>
      </w:tr>
      <w:tr w:rsidR="00D6590C" w14:paraId="4A1870AC" w14:textId="77777777" w:rsidTr="00D6590C">
        <w:trPr>
          <w:trHeight w:val="288"/>
          <w:jc w:val="center"/>
        </w:trPr>
        <w:tc>
          <w:tcPr>
            <w:tcW w:w="1635" w:type="dxa"/>
          </w:tcPr>
          <w:p w14:paraId="40AC383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Clay particles</w:t>
            </w:r>
          </w:p>
        </w:tc>
        <w:tc>
          <w:tcPr>
            <w:tcW w:w="849" w:type="dxa"/>
          </w:tcPr>
          <w:p w14:paraId="29F54E07" w14:textId="2F345511"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68</w:t>
            </w:r>
            <w:r w:rsidR="00A37F6D">
              <w:rPr>
                <w:rFonts w:ascii="Times New Roman" w:eastAsia="Times New Roman" w:hAnsi="Times New Roman" w:cs="Times New Roman"/>
              </w:rPr>
              <w:t>.0</w:t>
            </w:r>
          </w:p>
        </w:tc>
        <w:tc>
          <w:tcPr>
            <w:tcW w:w="849" w:type="dxa"/>
          </w:tcPr>
          <w:p w14:paraId="42BF3749" w14:textId="7D432EE4"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74</w:t>
            </w:r>
            <w:r w:rsidR="00A37F6D">
              <w:rPr>
                <w:rFonts w:ascii="Times New Roman" w:eastAsia="Times New Roman" w:hAnsi="Times New Roman" w:cs="Times New Roman"/>
              </w:rPr>
              <w:t>.0</w:t>
            </w:r>
          </w:p>
        </w:tc>
        <w:tc>
          <w:tcPr>
            <w:tcW w:w="1073" w:type="dxa"/>
          </w:tcPr>
          <w:p w14:paraId="3CB8D611" w14:textId="11B6F8B9"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71</w:t>
            </w:r>
            <w:r w:rsidR="00A37F6D">
              <w:rPr>
                <w:rFonts w:ascii="Times New Roman" w:eastAsia="Times New Roman" w:hAnsi="Times New Roman" w:cs="Times New Roman"/>
              </w:rPr>
              <w:t>.0</w:t>
            </w:r>
          </w:p>
        </w:tc>
        <w:tc>
          <w:tcPr>
            <w:tcW w:w="1069" w:type="dxa"/>
          </w:tcPr>
          <w:p w14:paraId="19F92F4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2.24</w:t>
            </w:r>
          </w:p>
        </w:tc>
        <w:tc>
          <w:tcPr>
            <w:tcW w:w="1014" w:type="dxa"/>
          </w:tcPr>
          <w:p w14:paraId="0796ABBB" w14:textId="76117848"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72</w:t>
            </w:r>
            <w:r w:rsidR="00A37F6D">
              <w:rPr>
                <w:rFonts w:ascii="Times New Roman" w:eastAsia="Times New Roman" w:hAnsi="Times New Roman" w:cs="Times New Roman"/>
              </w:rPr>
              <w:t>.0</w:t>
            </w:r>
          </w:p>
        </w:tc>
        <w:tc>
          <w:tcPr>
            <w:tcW w:w="802" w:type="dxa"/>
          </w:tcPr>
          <w:p w14:paraId="3A46D39D" w14:textId="7977283A"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79</w:t>
            </w:r>
            <w:r w:rsidR="00A37F6D">
              <w:rPr>
                <w:rFonts w:ascii="Times New Roman" w:eastAsia="Times New Roman" w:hAnsi="Times New Roman" w:cs="Times New Roman"/>
              </w:rPr>
              <w:t>.0</w:t>
            </w:r>
          </w:p>
        </w:tc>
        <w:tc>
          <w:tcPr>
            <w:tcW w:w="1014" w:type="dxa"/>
          </w:tcPr>
          <w:p w14:paraId="4A310E18" w14:textId="0D5FAE9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74.2</w:t>
            </w:r>
            <w:r w:rsidR="00A37F6D">
              <w:rPr>
                <w:rFonts w:ascii="Times New Roman" w:eastAsia="Times New Roman" w:hAnsi="Times New Roman" w:cs="Times New Roman"/>
              </w:rPr>
              <w:t>0</w:t>
            </w:r>
          </w:p>
        </w:tc>
        <w:tc>
          <w:tcPr>
            <w:tcW w:w="1010" w:type="dxa"/>
          </w:tcPr>
          <w:p w14:paraId="56F6835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2.95</w:t>
            </w:r>
          </w:p>
        </w:tc>
      </w:tr>
      <w:tr w:rsidR="00D6590C" w14:paraId="78A340F6" w14:textId="77777777" w:rsidTr="00D6590C">
        <w:trPr>
          <w:trHeight w:val="288"/>
          <w:jc w:val="center"/>
        </w:trPr>
        <w:tc>
          <w:tcPr>
            <w:tcW w:w="1635" w:type="dxa"/>
          </w:tcPr>
          <w:p w14:paraId="26A763C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Sand particles</w:t>
            </w:r>
          </w:p>
        </w:tc>
        <w:tc>
          <w:tcPr>
            <w:tcW w:w="849" w:type="dxa"/>
          </w:tcPr>
          <w:p w14:paraId="7EACB032" w14:textId="55B86099"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6</w:t>
            </w:r>
            <w:r w:rsidR="00A37F6D">
              <w:rPr>
                <w:rFonts w:ascii="Times New Roman" w:eastAsia="Times New Roman" w:hAnsi="Times New Roman" w:cs="Times New Roman"/>
              </w:rPr>
              <w:t>.0</w:t>
            </w:r>
          </w:p>
        </w:tc>
        <w:tc>
          <w:tcPr>
            <w:tcW w:w="849" w:type="dxa"/>
          </w:tcPr>
          <w:p w14:paraId="41F0709D" w14:textId="4033A27C"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10</w:t>
            </w:r>
            <w:r w:rsidR="00A37F6D">
              <w:rPr>
                <w:rFonts w:ascii="Times New Roman" w:eastAsia="Times New Roman" w:hAnsi="Times New Roman" w:cs="Times New Roman"/>
              </w:rPr>
              <w:t>.0</w:t>
            </w:r>
          </w:p>
        </w:tc>
        <w:tc>
          <w:tcPr>
            <w:tcW w:w="1073" w:type="dxa"/>
          </w:tcPr>
          <w:p w14:paraId="401D1A0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8.8</w:t>
            </w:r>
          </w:p>
        </w:tc>
        <w:tc>
          <w:tcPr>
            <w:tcW w:w="1069" w:type="dxa"/>
          </w:tcPr>
          <w:p w14:paraId="377BE34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1.79</w:t>
            </w:r>
          </w:p>
        </w:tc>
        <w:tc>
          <w:tcPr>
            <w:tcW w:w="1014" w:type="dxa"/>
          </w:tcPr>
          <w:p w14:paraId="26CAA369" w14:textId="1D5A85F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8</w:t>
            </w:r>
            <w:r w:rsidR="00A37F6D">
              <w:rPr>
                <w:rFonts w:ascii="Times New Roman" w:eastAsia="Times New Roman" w:hAnsi="Times New Roman" w:cs="Times New Roman"/>
              </w:rPr>
              <w:t>.0</w:t>
            </w:r>
          </w:p>
        </w:tc>
        <w:tc>
          <w:tcPr>
            <w:tcW w:w="802" w:type="dxa"/>
          </w:tcPr>
          <w:p w14:paraId="46EBC8B6" w14:textId="58BCAB1B"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11</w:t>
            </w:r>
            <w:r w:rsidR="00A37F6D">
              <w:rPr>
                <w:rFonts w:ascii="Times New Roman" w:eastAsia="Times New Roman" w:hAnsi="Times New Roman" w:cs="Times New Roman"/>
              </w:rPr>
              <w:t>.0</w:t>
            </w:r>
          </w:p>
        </w:tc>
        <w:tc>
          <w:tcPr>
            <w:tcW w:w="1014" w:type="dxa"/>
          </w:tcPr>
          <w:p w14:paraId="5E7FD897" w14:textId="2AB987C9"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9.2</w:t>
            </w:r>
            <w:r w:rsidR="00A37F6D">
              <w:rPr>
                <w:rFonts w:ascii="Times New Roman" w:eastAsia="Times New Roman" w:hAnsi="Times New Roman" w:cs="Times New Roman"/>
              </w:rPr>
              <w:t>0</w:t>
            </w:r>
          </w:p>
        </w:tc>
        <w:tc>
          <w:tcPr>
            <w:tcW w:w="1010" w:type="dxa"/>
          </w:tcPr>
          <w:p w14:paraId="69A4F6F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1.30</w:t>
            </w:r>
          </w:p>
        </w:tc>
      </w:tr>
      <w:tr w:rsidR="00D6590C" w14:paraId="3D0003A1" w14:textId="77777777" w:rsidTr="00D6590C">
        <w:trPr>
          <w:trHeight w:val="288"/>
          <w:jc w:val="center"/>
        </w:trPr>
        <w:tc>
          <w:tcPr>
            <w:tcW w:w="1635" w:type="dxa"/>
          </w:tcPr>
          <w:p w14:paraId="2A00186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Silt particles</w:t>
            </w:r>
          </w:p>
        </w:tc>
        <w:tc>
          <w:tcPr>
            <w:tcW w:w="849" w:type="dxa"/>
          </w:tcPr>
          <w:p w14:paraId="60B4E4C8" w14:textId="57405E41"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w:t>
            </w:r>
            <w:r w:rsidR="00A37F6D">
              <w:rPr>
                <w:rFonts w:ascii="Times New Roman" w:eastAsia="Times New Roman" w:hAnsi="Times New Roman" w:cs="Times New Roman"/>
              </w:rPr>
              <w:t>.0</w:t>
            </w:r>
          </w:p>
        </w:tc>
        <w:tc>
          <w:tcPr>
            <w:tcW w:w="849" w:type="dxa"/>
          </w:tcPr>
          <w:p w14:paraId="16B9C3CC" w14:textId="0393AF5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24</w:t>
            </w:r>
            <w:r w:rsidR="00A37F6D">
              <w:rPr>
                <w:rFonts w:ascii="Times New Roman" w:eastAsia="Times New Roman" w:hAnsi="Times New Roman" w:cs="Times New Roman"/>
              </w:rPr>
              <w:t>.0</w:t>
            </w:r>
          </w:p>
        </w:tc>
        <w:tc>
          <w:tcPr>
            <w:tcW w:w="1073" w:type="dxa"/>
          </w:tcPr>
          <w:p w14:paraId="6F99153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20.2</w:t>
            </w:r>
          </w:p>
        </w:tc>
        <w:tc>
          <w:tcPr>
            <w:tcW w:w="1069" w:type="dxa"/>
          </w:tcPr>
          <w:p w14:paraId="5ED0C4D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3.03</w:t>
            </w:r>
          </w:p>
        </w:tc>
        <w:tc>
          <w:tcPr>
            <w:tcW w:w="1014" w:type="dxa"/>
          </w:tcPr>
          <w:p w14:paraId="0A1C335E" w14:textId="7AFBAF1E"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w:t>
            </w:r>
            <w:r w:rsidR="00A37F6D">
              <w:rPr>
                <w:rFonts w:ascii="Times New Roman" w:eastAsia="Times New Roman" w:hAnsi="Times New Roman" w:cs="Times New Roman"/>
              </w:rPr>
              <w:t>.0</w:t>
            </w:r>
          </w:p>
        </w:tc>
        <w:tc>
          <w:tcPr>
            <w:tcW w:w="802" w:type="dxa"/>
          </w:tcPr>
          <w:p w14:paraId="76EB46A8" w14:textId="7DED22DF"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20</w:t>
            </w:r>
            <w:r w:rsidR="00A37F6D">
              <w:rPr>
                <w:rFonts w:ascii="Times New Roman" w:eastAsia="Times New Roman" w:hAnsi="Times New Roman" w:cs="Times New Roman"/>
              </w:rPr>
              <w:t>.0</w:t>
            </w:r>
          </w:p>
        </w:tc>
        <w:tc>
          <w:tcPr>
            <w:tcW w:w="1014" w:type="dxa"/>
          </w:tcPr>
          <w:p w14:paraId="3B028CFF" w14:textId="2A9AF4F3"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16.4</w:t>
            </w:r>
            <w:r w:rsidR="00A37F6D">
              <w:rPr>
                <w:rFonts w:ascii="Times New Roman" w:eastAsia="Times New Roman" w:hAnsi="Times New Roman" w:cs="Times New Roman"/>
              </w:rPr>
              <w:t>0</w:t>
            </w:r>
          </w:p>
        </w:tc>
        <w:tc>
          <w:tcPr>
            <w:tcW w:w="1010" w:type="dxa"/>
          </w:tcPr>
          <w:p w14:paraId="6BE7F71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3.91</w:t>
            </w:r>
          </w:p>
        </w:tc>
      </w:tr>
      <w:tr w:rsidR="00D6590C" w14:paraId="6572F159" w14:textId="77777777" w:rsidTr="00D6590C">
        <w:trPr>
          <w:trHeight w:val="288"/>
          <w:jc w:val="center"/>
        </w:trPr>
        <w:tc>
          <w:tcPr>
            <w:tcW w:w="1635" w:type="dxa"/>
          </w:tcPr>
          <w:p w14:paraId="4498072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Liquid Limit</w:t>
            </w:r>
          </w:p>
        </w:tc>
        <w:tc>
          <w:tcPr>
            <w:tcW w:w="849" w:type="dxa"/>
          </w:tcPr>
          <w:p w14:paraId="1756A6C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38.6</w:t>
            </w:r>
          </w:p>
        </w:tc>
        <w:tc>
          <w:tcPr>
            <w:tcW w:w="849" w:type="dxa"/>
          </w:tcPr>
          <w:p w14:paraId="7248EAB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48.0</w:t>
            </w:r>
          </w:p>
        </w:tc>
        <w:tc>
          <w:tcPr>
            <w:tcW w:w="1073" w:type="dxa"/>
          </w:tcPr>
          <w:p w14:paraId="726096A9"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43.98</w:t>
            </w:r>
          </w:p>
        </w:tc>
        <w:tc>
          <w:tcPr>
            <w:tcW w:w="1069" w:type="dxa"/>
          </w:tcPr>
          <w:p w14:paraId="7E80D61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3.59</w:t>
            </w:r>
          </w:p>
        </w:tc>
        <w:tc>
          <w:tcPr>
            <w:tcW w:w="1014" w:type="dxa"/>
          </w:tcPr>
          <w:p w14:paraId="2FA2249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49.6</w:t>
            </w:r>
          </w:p>
        </w:tc>
        <w:tc>
          <w:tcPr>
            <w:tcW w:w="802" w:type="dxa"/>
          </w:tcPr>
          <w:p w14:paraId="7A61C46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58.2</w:t>
            </w:r>
          </w:p>
        </w:tc>
        <w:tc>
          <w:tcPr>
            <w:tcW w:w="1014" w:type="dxa"/>
          </w:tcPr>
          <w:p w14:paraId="13B7F18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53.76</w:t>
            </w:r>
          </w:p>
        </w:tc>
        <w:tc>
          <w:tcPr>
            <w:tcW w:w="1010" w:type="dxa"/>
          </w:tcPr>
          <w:p w14:paraId="12B92FF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3.09</w:t>
            </w:r>
          </w:p>
        </w:tc>
      </w:tr>
      <w:tr w:rsidR="00D6590C" w14:paraId="18CA0CC5" w14:textId="77777777" w:rsidTr="00D6590C">
        <w:trPr>
          <w:trHeight w:val="288"/>
          <w:jc w:val="center"/>
        </w:trPr>
        <w:tc>
          <w:tcPr>
            <w:tcW w:w="1635" w:type="dxa"/>
          </w:tcPr>
          <w:p w14:paraId="05A1C78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Plastic Limit</w:t>
            </w:r>
          </w:p>
        </w:tc>
        <w:tc>
          <w:tcPr>
            <w:tcW w:w="849" w:type="dxa"/>
          </w:tcPr>
          <w:p w14:paraId="2A6FC0D0"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16.1</w:t>
            </w:r>
          </w:p>
        </w:tc>
        <w:tc>
          <w:tcPr>
            <w:tcW w:w="849" w:type="dxa"/>
          </w:tcPr>
          <w:p w14:paraId="1C44A556"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23.4</w:t>
            </w:r>
          </w:p>
        </w:tc>
        <w:tc>
          <w:tcPr>
            <w:tcW w:w="1073" w:type="dxa"/>
          </w:tcPr>
          <w:p w14:paraId="1087897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20.74</w:t>
            </w:r>
          </w:p>
        </w:tc>
        <w:tc>
          <w:tcPr>
            <w:tcW w:w="1069" w:type="dxa"/>
          </w:tcPr>
          <w:p w14:paraId="3AB08C8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3.44</w:t>
            </w:r>
          </w:p>
        </w:tc>
        <w:tc>
          <w:tcPr>
            <w:tcW w:w="1014" w:type="dxa"/>
          </w:tcPr>
          <w:p w14:paraId="220C77D4"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23.3</w:t>
            </w:r>
          </w:p>
        </w:tc>
        <w:tc>
          <w:tcPr>
            <w:tcW w:w="802" w:type="dxa"/>
          </w:tcPr>
          <w:p w14:paraId="535DD6DB"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38.6</w:t>
            </w:r>
          </w:p>
        </w:tc>
        <w:tc>
          <w:tcPr>
            <w:tcW w:w="1014" w:type="dxa"/>
          </w:tcPr>
          <w:p w14:paraId="52087D67"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26.08</w:t>
            </w:r>
          </w:p>
        </w:tc>
        <w:tc>
          <w:tcPr>
            <w:tcW w:w="1010" w:type="dxa"/>
          </w:tcPr>
          <w:p w14:paraId="2ABFBD3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2.27</w:t>
            </w:r>
          </w:p>
        </w:tc>
      </w:tr>
      <w:tr w:rsidR="00D6590C" w14:paraId="2A7A2487" w14:textId="77777777" w:rsidTr="00D6590C">
        <w:trPr>
          <w:trHeight w:val="288"/>
          <w:jc w:val="center"/>
        </w:trPr>
        <w:tc>
          <w:tcPr>
            <w:tcW w:w="1635" w:type="dxa"/>
          </w:tcPr>
          <w:p w14:paraId="1A58A0B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Plasticity index</w:t>
            </w:r>
          </w:p>
        </w:tc>
        <w:tc>
          <w:tcPr>
            <w:tcW w:w="849" w:type="dxa"/>
          </w:tcPr>
          <w:p w14:paraId="551B047E"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20.6</w:t>
            </w:r>
          </w:p>
        </w:tc>
        <w:tc>
          <w:tcPr>
            <w:tcW w:w="849" w:type="dxa"/>
          </w:tcPr>
          <w:p w14:paraId="08883875"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26.4</w:t>
            </w:r>
          </w:p>
        </w:tc>
        <w:tc>
          <w:tcPr>
            <w:tcW w:w="1073" w:type="dxa"/>
          </w:tcPr>
          <w:p w14:paraId="6CEA9C72"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23.24</w:t>
            </w:r>
          </w:p>
        </w:tc>
        <w:tc>
          <w:tcPr>
            <w:tcW w:w="1069" w:type="dxa"/>
          </w:tcPr>
          <w:p w14:paraId="7F80A73D"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2.46</w:t>
            </w:r>
          </w:p>
        </w:tc>
        <w:tc>
          <w:tcPr>
            <w:tcW w:w="1014" w:type="dxa"/>
          </w:tcPr>
          <w:p w14:paraId="059CC9A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25.55</w:t>
            </w:r>
          </w:p>
        </w:tc>
        <w:tc>
          <w:tcPr>
            <w:tcW w:w="802" w:type="dxa"/>
          </w:tcPr>
          <w:p w14:paraId="6AF17E5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31.1</w:t>
            </w:r>
          </w:p>
        </w:tc>
        <w:tc>
          <w:tcPr>
            <w:tcW w:w="1014" w:type="dxa"/>
          </w:tcPr>
          <w:p w14:paraId="4D897613"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27.68</w:t>
            </w:r>
          </w:p>
        </w:tc>
        <w:tc>
          <w:tcPr>
            <w:tcW w:w="1010" w:type="dxa"/>
          </w:tcPr>
          <w:p w14:paraId="2D838B0C" w14:textId="77777777" w:rsidR="00D6590C" w:rsidRDefault="00D6590C" w:rsidP="00F22F79">
            <w:pPr>
              <w:spacing w:line="360" w:lineRule="auto"/>
              <w:rPr>
                <w:rFonts w:ascii="Times New Roman" w:eastAsia="Times New Roman" w:hAnsi="Times New Roman" w:cs="Times New Roman"/>
              </w:rPr>
            </w:pPr>
            <w:r>
              <w:rPr>
                <w:rFonts w:ascii="Times New Roman" w:eastAsia="Times New Roman" w:hAnsi="Times New Roman" w:cs="Times New Roman"/>
              </w:rPr>
              <w:t>2.69</w:t>
            </w:r>
          </w:p>
        </w:tc>
      </w:tr>
    </w:tbl>
    <w:p w14:paraId="489C54C1" w14:textId="77777777" w:rsidR="00D6590C" w:rsidRDefault="00D6590C" w:rsidP="00D6590C">
      <w:pPr>
        <w:spacing w:after="0"/>
      </w:pPr>
    </w:p>
    <w:p w14:paraId="5B6C8C1E" w14:textId="04472E7C" w:rsidR="00661697" w:rsidRDefault="00661697" w:rsidP="00661697">
      <w:pPr>
        <w:pStyle w:val="Heading2"/>
      </w:pPr>
      <w:r>
        <w:t>Discussions</w:t>
      </w:r>
    </w:p>
    <w:p w14:paraId="6E484DFA" w14:textId="77777777" w:rsidR="00661697" w:rsidRDefault="00661697" w:rsidP="00661697">
      <w:pPr>
        <w:spacing w:before="240" w:after="0" w:line="360" w:lineRule="auto"/>
        <w:rPr>
          <w:rFonts w:ascii="Times New Roman" w:eastAsia="Times New Roman" w:hAnsi="Times New Roman" w:cs="Times New Roman"/>
        </w:rPr>
      </w:pPr>
      <w:r w:rsidRPr="00CD4993">
        <w:rPr>
          <w:rFonts w:ascii="Times New Roman" w:eastAsia="Times New Roman" w:hAnsi="Times New Roman" w:cs="Times New Roman"/>
        </w:rPr>
        <w:t xml:space="preserve">The dominance of kaolinite confirms the kaolinitic nature of the clay deposits, which is consistent with typical weathering products of feldspar-rich source rocks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{"citationItems":[{"id":"ITEM-1","itemData":{"DOI":"10.3390/min10020142","ISSN":"2075163X","abstract":"This research characterizes the kaolinitic clays from Cretaceous–Paleocene lateritic deposits of Terra Alta (south Catalonia) to evaluate their possible applications. The outcrops and quarries belong to the Horta de Sant Joan and Pinell de Brai areas. The chemical composition, mineralogy, rheological behavior, particle size distribution and plasticity are determined. The Fe and Ti4+ contents prevent them from being directly used as raw material for white ceramics. The mineralogy consists of kaolinite with quartz, illite, hematite, and minor K-feldspar and calcite. Most of the area comprises medium plastic clays that are classified as fired clays and can be used as ceramic and construction materials. In Horta de Sant Joan, a kaolinitic-rich level, up to 75 wt % of kaolinite, is highly crystalline with low plasticity and can be classified as flint clay, useful as a refractory clay. The evaluated kaolinitic clays can also be used to obtain a triaxial ceramic when they are mixed with feldspar to act as a fluxing agent and chamotte.","author":[{"dropping-particle":"","family":"Garcia-Valles","given":"Maite","non-dropping-particle":"","parse-names":false,"suffix":""},{"dropping-particle":"","family":"Alfonso","given":"Pura","non-dropping-particle":"","parse-names":false,"suffix":""},{"dropping-particle":"","family":"Martínez","given":"Salvador","non-dropping-particle":"","parse-names":false,"suffix":""},{"dropping-particle":"","family":"Roca","given":"Núria","non-dropping-particle":"","parse-names":false,"suffix":""}],"container-title":"Minerals","id":"ITEM-1","issue":"2","issued":{"date-parts":[["2020"]]},"title":"Mineralogical and thermal characterization of kaolinitic clays from terra alta (Catalonia, Spain)","type":"article-journal","volume":"10"},"uris":["http://www.mendeley.com/documents/?uuid=6d8bf3d9-3528-4521-92e6-205cb46bae92"]},{"id":"ITEM-2","itemData":{"abstract":"&lt;p&gt;Forteen clay samples collected from three kaolin deposits (Tamazert, Hadj Ali and Chekfa; NE Algeria) are characterized by several techniques in order to compares them to somes kaolins used in industry especially that used in ceramics. All the samples were investigated by X-ray diffraction, Infrared absorption spectroscopy, thermal analysis (TG), plasticity, environmental scanning electron microscopy and chemical major elements analysis. The bulk mineralogical composition of all clays samples is dominated by kaolinite (21-75%), illite/ muscovite (33-76%) and quartz (7-21%). K-feldspar and plagioclase are only present in Chekfa and Hadj Ali clays with small amounts. Clay fraction (&amp;lt; 2µm) dominated by kaolinite and illite (98%). Chlorite and smectite are present in some samples of Chekfa and Hadj Ali clays with insignificant amount (˂1%). The particles-size distribution of all samples showed the abundance of sandy silt fraction (28-63%) and silty sand (39-64%) with moderate clayey fraction (2-7%). The chemical composition showed variable amounts of SiO2 (59-68%), Al2O3 (18-39%), Fe2O3 (.26-1.38%) and TiO2 (0.34-0.69%) in accordance with the free quartz in all studied samples. Plasticity-index (7.5-7.9%), Specific surface (28-47m2) and Cation exchange (5-11meq/100g) values are moderate in all samples. Given these properties, these clays may be suitable in bricks and ceramic product.&lt;/p&gt;","author":[{"dropping-particle":"","family":"boukoffa","given":"mechati","non-dropping-particle":"","parse-names":false,"suffix":""},{"dropping-particle":"","family":"Lamouri","given":"Bachir","non-dropping-particle":"","parse-names":false,"suffix":""},{"dropping-particle":"","family":"Bouabsa","given":"Lakhdar","non-dropping-particle":"","parse-names":false,"suffix":""},{"dropping-particle":"","family":"Fagel","given":"Nathalie","non-dropping-particle":"","parse-names":false,"suffix":""}],"id":"ITEM-2","issued":{"date-parts":[["2021"]]},"page":"1-28","title":"Mineralogical, Physico-chemical and Geochemical Characterization of Three Kaolinitic Clays (Ne Algeria): Comparative Study","type":"article-journal"},"uris":["http://www.mendeley.com/documents/?uuid=39e1cfe5-3224-4fb6-8801-d3997f16fd57"]}],"mendeley":{"formattedCitation":"(boukoffa et al., 2021; Garcia-Valles et al., 2020)","manualFormatting":"(Boukoffa et al., 2021; Garcia-Valles et al., 2020)","plainTextFormattedCitation":"(boukoffa et al., 2021; Garcia-Valles et al., 2020)","previouslyFormattedCitation":"(boukoffa et al., 2021; Garcia-Valles et al., 2020)"},"properties":{"noteIndex":0},"schema":"https://github.com/citation-style-language/schema/raw/master/csl-citation.json"}</w:instrText>
      </w:r>
      <w:r>
        <w:rPr>
          <w:rFonts w:ascii="Times New Roman" w:eastAsia="Times New Roman" w:hAnsi="Times New Roman" w:cs="Times New Roman"/>
        </w:rPr>
        <w:fldChar w:fldCharType="separate"/>
      </w:r>
      <w:r w:rsidRPr="00CD4993">
        <w:rPr>
          <w:rFonts w:ascii="Times New Roman" w:eastAsia="Times New Roman" w:hAnsi="Times New Roman" w:cs="Times New Roman"/>
          <w:noProof/>
        </w:rPr>
        <w:t>(</w:t>
      </w:r>
      <w:r>
        <w:rPr>
          <w:rFonts w:ascii="Times New Roman" w:eastAsia="Times New Roman" w:hAnsi="Times New Roman" w:cs="Times New Roman"/>
          <w:noProof/>
        </w:rPr>
        <w:t>B</w:t>
      </w:r>
      <w:r w:rsidRPr="00CD4993">
        <w:rPr>
          <w:rFonts w:ascii="Times New Roman" w:eastAsia="Times New Roman" w:hAnsi="Times New Roman" w:cs="Times New Roman"/>
          <w:noProof/>
        </w:rPr>
        <w:t>oukoffa et al., 2021; Garcia-Valles et al., 2020)</w:t>
      </w:r>
      <w:r>
        <w:rPr>
          <w:rFonts w:ascii="Times New Roman" w:eastAsia="Times New Roman" w:hAnsi="Times New Roman" w:cs="Times New Roman"/>
        </w:rPr>
        <w:fldChar w:fldCharType="end"/>
      </w:r>
      <w:r w:rsidRPr="00CD4993">
        <w:rPr>
          <w:rFonts w:ascii="Times New Roman" w:eastAsia="Times New Roman" w:hAnsi="Times New Roman" w:cs="Times New Roman"/>
        </w:rPr>
        <w:t>. The presence of significant quartz reflects its resistance to chemical weathering and contributes to the textural characteristics of the clay</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{"citationItems":[{"id":"ITEM-1","itemData":{"DOI":"10.1155/2023/9104807","ISSN":"16878442","abstract":"Kaolin mineral is a commercially solid powder with a comparatively low level of purity and is regularly used for a variety of applications, including filler, paints, ceramics, adsorbents, and paper. In Ethiopia, the kaolin clay mineral is significant for financial growth as the raw material used in the industry sector. However, slight consideration was given to the chemical, physical, mineralogical, and morphological properties of kaolin. In this study, the property of kaolin is investigated by using advanced instruments such as X-ray diffraction (XRD), X-ray fluorescence analysis (XRF), Fourier-transform infrared spectroscopy (FTIR), thermogravimetric analysis (TGA), and differential thermogravimetric analysis (DTA). Based on the XRF test, the main component of kaolin clay contains SiO2 (58.73%), Al2O3 (24.35%), K2O (5.36%), and other impurities, including Fe2O3 (2.06%) and TiO2 (0.13%). The FTIR spectra displayed the functional groups Si-O, Al-OH, Al-O, and Si-O-Al. The XRD diffractogram identified kaolin clay as the main mineral phase in the existence of quartz, halloysite, and chlorite.","author":[{"dropping-particle":"","family":"Ayalew","given":"Adane Adugna","non-dropping-particle":"","parse-names":false,"suffix":""},{"dropping-particle":"","family":"Demir","given":"Ismail","non-dropping-particle":"","parse-names":false,"suffix":""}],"container-title":"Advances in Materials Science and Engineering","id":"ITEM-1","issued":{"date-parts":[["2023"]]},"title":"Physiochemical Characterization of Ethiopian Mined Kaolin Clay through Beneficiation Process","type":"article-journal","volume":"2023"},"uris":["http://www.mendeley.com/documents/?uuid=736ee455-206d-44af-a4c8-834ecc3830ce"]}],"mendeley":{"formattedCitation":"(Ayalew &amp; Demir, 2023)","plainTextFormattedCitation":"(Ayalew &amp; Demir, 2023)","previouslyFormattedCitation":"(Ayalew &amp; Demir, 2023)"},"properties":{"noteIndex":0},"schema":"https://github.com/citation-style-language/schema/raw/master/csl-citation.json"}</w:instrText>
      </w:r>
      <w:r>
        <w:rPr>
          <w:rFonts w:ascii="Times New Roman" w:eastAsia="Times New Roman" w:hAnsi="Times New Roman" w:cs="Times New Roman"/>
        </w:rPr>
        <w:fldChar w:fldCharType="separate"/>
      </w:r>
      <w:r w:rsidRPr="00554849">
        <w:rPr>
          <w:rFonts w:ascii="Times New Roman" w:eastAsia="Times New Roman" w:hAnsi="Times New Roman" w:cs="Times New Roman"/>
          <w:noProof/>
        </w:rPr>
        <w:t>(Ayalew &amp; Demir, 2023)</w:t>
      </w:r>
      <w:r>
        <w:rPr>
          <w:rFonts w:ascii="Times New Roman" w:eastAsia="Times New Roman" w:hAnsi="Times New Roman" w:cs="Times New Roman"/>
        </w:rPr>
        <w:fldChar w:fldCharType="end"/>
      </w:r>
      <w:r w:rsidRPr="00CD4993">
        <w:rPr>
          <w:rFonts w:ascii="Times New Roman" w:eastAsia="Times New Roman" w:hAnsi="Times New Roman" w:cs="Times New Roman"/>
        </w:rPr>
        <w:t xml:space="preserve">. The occurrence of feldspar minerals (orthoclase and albite) indicates incomplete alteration of the source material, suggesting that weathering processes were not sufficient to entirely transform all primary minerals. Additionally, the presence of muscovite supports a felsic provenance, consistent with derivation from basement complex rocks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{"citationItems":[{"id":"ITEM-1","itemData":{"DOI":"10.1016/j.earscirev.2019.02.004","ISSN":"00128252","abstract":"The feldspar group is one of the most common types of minerals in the earth's crust. Feldspar alteration (including the whole processes of feldspar dissolution, transfer of released solutes, and secondary mineral precipitation) is ubiquitous and important in fields including resources and environmental sciences. This paper provides a critical review of feldspar alteration and its geological significance in shallow aquifers to deep hydrocarbon reservoirs, as assessed from peer-reviewed paper in the literature. A variety of mechanisms such as the surface reaction-controlled dissolution mechanism, the preferential leaching-diffusion controlled mechanism, the diffusion-precipitation controlled dissolution mechanism and the interfacial dissolution-reprecipitation mechanism have been proposed to be responsible for the dissolution of feldspars. Feldspar dissolution rates can be affected by the crystal structure, Al/Si ordering, temperature, pH, surface area, organic acids, chemical affinity, and precipitation of secondary minerals. Five main dissolution rate laws have been used to describe feldspar dissolution rates, including the linear transition state theory (L-TST) rate law, non-linear TST rate law, parallel rate law, stepwave model rate law, and partial equilibrium law. The rate inconsistency between laboratory experiments and field observations is interpreted with hypotheses that include the armoring effects of the coating secondary minerals on feldspar surfaces, the possible effects of leached layers, the approach to saturation with respect to feldspars, the inhibition by absorbed Al 3+ on the feldspar surface, and the inhibition by simultaneous slow clay precipitation rates. The inorganic-original (meteoric water and deep hot water) and organic-original (kerogen and hydrocarbon degradation) hydrogen ion (H + ) in a fluid can probably act as a significant catalyzer of fast dissolution of feldspars in shallow aquifers and deep hydrocarbon reservoirs. Various mineral assemblages including extensively leached feldspars with a wide range of associated amounts of clay minerals and quartz cements can be identified in subsurface reservoirs under different geological conditions. Feldspar dissolution can generate enhanced secondary porosities and rock permeability in open geochemical systems at shallow depth or at a moderate-deep depth where faults develop widely. While in closed geochemical systems at moderate-deep depth, feldspar dissolution is likely to gener…","author":[{"dropping-particle":"","family":"Yuan","given":"Guanghui","non-dropping-particle":"","parse-names":false,"suffix":""},{"dropping-particle":"","family":"Cao","given":"Yingchang","non-dropping-particle":"","parse-names":false,"suffix":""},{"dropping-particle":"","family":"Schulz","given":"Hans Martin","non-dropping-particle":"","parse-names":false,"suffix":""},{"dropping-particle":"","family":"Hao","given":"Fang","non-dropping-particle":"","parse-names":false,"suffix":""},{"dropping-particle":"","family":"Gluyas","given":"Jon","non-dropping-particle":"","parse-names":false,"suffix":""},{"dropping-particle":"","family":"Liu","given":"Keyu","non-dropping-particle":"","parse-names":false,"suffix":""},{"dropping-particle":"","family":"Yang","given":"Tian","non-dropping-particle":"","parse-names":false,"suffix":""},{"dropping-particle":"","family":"Wang","given":"Yanzhong","non-dropping-particle":"","parse-names":false,"suffix":""},{"dropping-particle":"","family":"Xi","given":"Kelai","non-dropping-particle":"","parse-names":false,"suffix":""},{"dropping-particle":"","family":"Li","given":"Fulai","non-dropping-particle":"","parse-names":false,"suffix":""}],"container-title":"Earth-Science Reviews","id":"ITEM-1","issued":{"date-parts":[["2019"]]},"page":"114-140","title":"A review of feldspar alteration and its geological significance in sedimentary basins: From shallow aquifers to deep hydrocarbon reservoirs","type":"article-journal","volume":"191"},"uris":["http://www.mendeley.com/documents/?uuid=2b462a2b-4c3d-46d4-907e-bdbf9da2a69f"]}],"mendeley":{"formattedCitation":"(Yuan et al., 2019)","plainTextFormattedCitation":"(Yuan et al., 2019)","previouslyFormattedCitation":"(Yuan et al., 2019)"},"properties":{"noteIndex":0},"schema":"https://github.com/citation-style-language/schema/raw/master/csl-citation.json"}</w:instrText>
      </w:r>
      <w:r>
        <w:rPr>
          <w:rFonts w:ascii="Times New Roman" w:eastAsia="Times New Roman" w:hAnsi="Times New Roman" w:cs="Times New Roman"/>
        </w:rPr>
        <w:fldChar w:fldCharType="separate"/>
      </w:r>
      <w:r w:rsidRPr="00554849">
        <w:rPr>
          <w:rFonts w:ascii="Times New Roman" w:eastAsia="Times New Roman" w:hAnsi="Times New Roman" w:cs="Times New Roman"/>
          <w:noProof/>
        </w:rPr>
        <w:t>(Yuan et al., 2019)</w:t>
      </w:r>
      <w:r>
        <w:rPr>
          <w:rFonts w:ascii="Times New Roman" w:eastAsia="Times New Roman" w:hAnsi="Times New Roman" w:cs="Times New Roman"/>
        </w:rPr>
        <w:fldChar w:fldCharType="end"/>
      </w:r>
      <w:r w:rsidRPr="00CD4993">
        <w:rPr>
          <w:rFonts w:ascii="Times New Roman" w:eastAsia="Times New Roman" w:hAnsi="Times New Roman" w:cs="Times New Roman"/>
        </w:rPr>
        <w:t>.</w:t>
      </w:r>
    </w:p>
    <w:p w14:paraId="36B236B5" w14:textId="7652AB05" w:rsidR="00661697" w:rsidRPr="003E5EF9" w:rsidRDefault="00661697" w:rsidP="003E5EF9">
      <w:pPr>
        <w:spacing w:after="0" w:line="360" w:lineRule="auto"/>
        <w:rPr>
          <w:rFonts w:ascii="Times New Roman" w:eastAsia="Times New Roman" w:hAnsi="Times New Roman" w:cs="Times New Roman"/>
        </w:rPr>
      </w:pPr>
      <w:r w:rsidRPr="00554849">
        <w:rPr>
          <w:rFonts w:ascii="Times New Roman" w:eastAsia="Times New Roman" w:hAnsi="Times New Roman" w:cs="Times New Roman"/>
        </w:rPr>
        <w:t xml:space="preserve">The geochemical composition is consistent with a kaolinitic clay system, </w:t>
      </w:r>
      <w:r>
        <w:rPr>
          <w:rFonts w:ascii="Times New Roman" w:eastAsia="Times New Roman" w:hAnsi="Times New Roman" w:cs="Times New Roman"/>
        </w:rPr>
        <w:t>characterized</w:t>
      </w:r>
      <w:r w:rsidRPr="00554849">
        <w:rPr>
          <w:rFonts w:ascii="Times New Roman" w:eastAsia="Times New Roman" w:hAnsi="Times New Roman" w:cs="Times New Roman"/>
        </w:rPr>
        <w:t xml:space="preserve"> by the predominance of SiO</w:t>
      </w:r>
      <w:r>
        <w:rPr>
          <w:rFonts w:ascii="Times New Roman" w:eastAsia="Times New Roman" w:hAnsi="Times New Roman" w:cs="Times New Roman"/>
          <w:vertAlign w:val="subscript"/>
        </w:rPr>
        <w:t>2</w:t>
      </w:r>
      <w:r w:rsidRPr="00554849">
        <w:rPr>
          <w:rFonts w:ascii="Times New Roman" w:eastAsia="Times New Roman" w:hAnsi="Times New Roman" w:cs="Times New Roman"/>
        </w:rPr>
        <w:t xml:space="preserve"> and Al</w:t>
      </w:r>
      <w:r>
        <w:rPr>
          <w:rFonts w:ascii="Times New Roman" w:eastAsia="Times New Roman" w:hAnsi="Times New Roman" w:cs="Times New Roman"/>
          <w:vertAlign w:val="subscript"/>
        </w:rPr>
        <w:t>2</w:t>
      </w:r>
      <w:r w:rsidRPr="00554849">
        <w:rPr>
          <w:rFonts w:ascii="Times New Roman" w:eastAsia="Times New Roman" w:hAnsi="Times New Roman" w:cs="Times New Roman"/>
        </w:rPr>
        <w:t>O</w:t>
      </w:r>
      <w:r>
        <w:rPr>
          <w:rFonts w:ascii="Times New Roman" w:eastAsia="Times New Roman" w:hAnsi="Times New Roman" w:cs="Times New Roman"/>
          <w:vertAlign w:val="subscript"/>
        </w:rPr>
        <w:t>3</w:t>
      </w:r>
      <w:r w:rsidRPr="00554849">
        <w:rPr>
          <w:rFonts w:ascii="Times New Roman" w:eastAsia="Times New Roman" w:hAnsi="Times New Roman" w:cs="Times New Roman"/>
        </w:rPr>
        <w:t xml:space="preserve">, which correspond to the dominant quartz and kaolinite phases identified mineralogically. This compositional relationship reflects the aluminosilicate nature of the clay and is typical of kaolin deposits derived from weathering of feldspar-rich source rocks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{"citationItems":[{"id":"ITEM-1","itemData":{"DOI":"10.1088/1742-6596/1116/4/042010","ISSN":"17426596","abstract":"Technical Kaolin is a commercially sold kaolin with a relatively low level of purity and is often used as a filler of paints, paper, and ceramics. In this study, we tested the technical properties of kaolin physically and chemically, which include XRF, SEM, XRD, and FTIR. Based on the XRF test, the main composition of kaolin, SiO 2 , Al 2 O 3 , K 2 O, Fe 2 O 3 , and TiO 2 were 46.66%, 39.63%, 0.84%, 0.55% and 0.274% respectively, while the rest were impurities. The FTIR spectra showed the functional groups of Al-OH, Al-O, and Si-O. While the XRD diffractogram identified kaolinite as the main mineral phase in the presence of quartz, chlorite, halloysite, and cristobalite tested in small quantities in the sample.","author":[{"dropping-particle":"","family":"Dewi","given":"R.","non-dropping-particle":"","parse-names":false,"suffix":""},{"dropping-particle":"","family":"Agusnar","given":"H.","non-dropping-particle":"","parse-names":false,"suffix":""},{"dropping-particle":"","family":"Alfian","given":"Z.","non-dropping-particle":"","parse-names":false,"suffix":""},{"dropping-particle":"","family":"Tamrin","given":"","non-dropping-particle":"","parse-names":false,"suffix":""}],"container-title":"Journal of Physics: Conference Series","id":"ITEM-1","issue":"4","issued":{"date-parts":[["2018"]]},"title":"Characterization of technical kaolin using XRF, SEM, XRD, FTIR and its potentials as industrial raw materials","type":"article-journal","volume":"1116"},"uris":["http://www.mendeley.com/documents/?uuid=c425aae1-73ea-4d79-867f-d86ab7b3895b"]},{"id":"ITEM-2","itemData":{"DOI":"10.1155/2023/9104807","ISSN":"16878442","abstract":"Kaolin mineral is a commercially solid powder with a comparatively low level of purity and is regularly used for a variety of applications, including filler, paints, ceramics, adsorbents, and paper. In Ethiopia, the kaolin clay mineral is significant for financial growth as the raw material used in the industry sector. However, slight consideration was given to the chemical, physical, mineralogical, and morphological properties of kaolin. In this study, the property of kaolin is investigated by using advanced instruments such as X-ray diffraction (XRD), X-ray fluorescence analysis (XRF), Fourier-transform infrared spectroscopy (FTIR), thermogravimetric analysis (TGA), and differential thermogravimetric analysis (DTA). Based on the XRF test, the main component of kaolin clay contains SiO2 (58.73%), Al2O3 (24.35%), K2O (5.36%), and other impurities, including Fe2O3 (2.06%) and TiO2 (0.13%). The FTIR spectra displayed the functional groups Si-O, Al-OH, Al-O, and Si-O-Al. The XRD diffractogram identified kaolin clay as the main mineral phase in the existence of quartz, halloysite, and chlorite.","author":[{"dropping-particle":"","family":"Ayalew","given":"Adane Adugna","non-dropping-particle":"","parse-names":false,"suffix":""},{"dropping-particle":"","family":"Demir","given":"Ismail","non-dropping-particle":"","parse-names":false,"suffix":""}],"container-title":"Advances in Materials Science and Engineering","id":"ITEM-2","issued":{"date-parts":[["2023"]]},"title":"Physiochemical Characterization of Ethiopian Mined Kaolin Clay through Beneficiation Process","type":"article-journal","volume":"2023"},"uris":["http://www.mendeley.com/documents/?uuid=736ee455-206d-44af-a4c8-834ecc3830ce"]}],"mendeley":{"formattedCitation":"(Ayalew &amp; Demir, 2023; Dewi et al., 2018)","plainTextFormattedCitation":"(Ayalew &amp; Demir, 2023; Dewi et al., 2018)","previouslyFormattedCitation":"(Ayalew &amp; Demir, 2023; Dewi et al., 2018)"},"properties":{"noteIndex":0},"schema":"https://github.com/citation-style-language/schema/raw/master/csl-citation.json"}</w:instrText>
      </w:r>
      <w:r>
        <w:rPr>
          <w:rFonts w:ascii="Times New Roman" w:eastAsia="Times New Roman" w:hAnsi="Times New Roman" w:cs="Times New Roman"/>
        </w:rPr>
        <w:fldChar w:fldCharType="separate"/>
      </w:r>
      <w:r w:rsidRPr="002E2F84">
        <w:rPr>
          <w:rFonts w:ascii="Times New Roman" w:eastAsia="Times New Roman" w:hAnsi="Times New Roman" w:cs="Times New Roman"/>
          <w:noProof/>
        </w:rPr>
        <w:t>(Ayalew &amp; Demir, 2023; Dewi et al., 2018)</w:t>
      </w:r>
      <w:r>
        <w:rPr>
          <w:rFonts w:ascii="Times New Roman" w:eastAsia="Times New Roman" w:hAnsi="Times New Roman" w:cs="Times New Roman"/>
        </w:rPr>
        <w:fldChar w:fldCharType="end"/>
      </w:r>
      <w:r w:rsidRPr="00554849">
        <w:rPr>
          <w:rFonts w:ascii="Times New Roman" w:eastAsia="Times New Roman" w:hAnsi="Times New Roman" w:cs="Times New Roman"/>
        </w:rPr>
        <w:t>. The observed oxide proportions therefore support the mineralogical interpretation and confirm the classification of the deposits as kaolinitic clays.</w:t>
      </w:r>
    </w:p>
    <w:p w14:paraId="2A50DBEE" w14:textId="77777777" w:rsidR="003E5EF9" w:rsidRDefault="003E5EF9" w:rsidP="003E5EF9">
      <w:pPr>
        <w:spacing w:after="0" w:line="360" w:lineRule="auto"/>
        <w:rPr>
          <w:rFonts w:ascii="Times New Roman" w:eastAsia="Times New Roman" w:hAnsi="Times New Roman" w:cs="Times New Roman"/>
        </w:rPr>
      </w:pPr>
      <w:r w:rsidRPr="002E2F84">
        <w:rPr>
          <w:rFonts w:ascii="Times New Roman" w:eastAsia="Times New Roman" w:hAnsi="Times New Roman" w:cs="Times New Roman"/>
        </w:rPr>
        <w:t>The low concentrations of Na</w:t>
      </w:r>
      <w:r>
        <w:rPr>
          <w:rFonts w:ascii="Times New Roman" w:eastAsia="Times New Roman" w:hAnsi="Times New Roman" w:cs="Times New Roman"/>
          <w:vertAlign w:val="subscript"/>
        </w:rPr>
        <w:t>2</w:t>
      </w:r>
      <w:r w:rsidRPr="002E2F84">
        <w:rPr>
          <w:rFonts w:ascii="Times New Roman" w:eastAsia="Times New Roman" w:hAnsi="Times New Roman" w:cs="Times New Roman"/>
        </w:rPr>
        <w:t>O, K</w:t>
      </w:r>
      <w:r>
        <w:rPr>
          <w:rFonts w:ascii="Times New Roman" w:eastAsia="Times New Roman" w:hAnsi="Times New Roman" w:cs="Times New Roman"/>
          <w:vertAlign w:val="subscript"/>
        </w:rPr>
        <w:t>2</w:t>
      </w:r>
      <w:r w:rsidRPr="002E2F84">
        <w:rPr>
          <w:rFonts w:ascii="Times New Roman" w:eastAsia="Times New Roman" w:hAnsi="Times New Roman" w:cs="Times New Roman"/>
        </w:rPr>
        <w:t>O, CaO, and MgO indicate significant depletion of mobile elements, consistent with advanced chemical weathering of feldspar- and mica-bearing source rocks</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{"citationItems":[{"id":"ITEM-1","itemData":{"DOI":"10.1016/j.earscirev.2019.02.004","ISSN":"00128252","abstract":"The feldspar group is one of the most common types of minerals in the earth's crust. Feldspar alteration (including the whole processes of feldspar dissolution, transfer of released solutes, and secondary mineral precipitation) is ubiquitous and important in fields including resources and environmental sciences. This paper provides a critical review of feldspar alteration and its geological significance in shallow aquifers to deep hydrocarbon reservoirs, as assessed from peer-reviewed paper in the literature. A variety of mechanisms such as the surface reaction-controlled dissolution mechanism, the preferential leaching-diffusion controlled mechanism, the diffusion-precipitation controlled dissolution mechanism and the interfacial dissolution-reprecipitation mechanism have been proposed to be responsible for the dissolution of feldspars. Feldspar dissolution rates can be affected by the crystal structure, Al/Si ordering, temperature, pH, surface area, organic acids, chemical affinity, and precipitation of secondary minerals. Five main dissolution rate laws have been used to describe feldspar dissolution rates, including the linear transition state theory (L-TST) rate law, non-linear TST rate law, parallel rate law, stepwave model rate law, and partial equilibrium law. The rate inconsistency between laboratory experiments and field observations is interpreted with hypotheses that include the armoring effects of the coating secondary minerals on feldspar surfaces, the possible effects of leached layers, the approach to saturation with respect to feldspars, the inhibition by absorbed Al 3+ on the feldspar surface, and the inhibition by simultaneous slow clay precipitation rates. The inorganic-original (meteoric water and deep hot water) and organic-original (kerogen and hydrocarbon degradation) hydrogen ion (H + ) in a fluid can probably act as a significant catalyzer of fast dissolution of feldspars in shallow aquifers and deep hydrocarbon reservoirs. Various mineral assemblages including extensively leached feldspars with a wide range of associated amounts of clay minerals and quartz cements can be identified in subsurface reservoirs under different geological conditions. Feldspar dissolution can generate enhanced secondary porosities and rock permeability in open geochemical systems at shallow depth or at a moderate-deep depth where faults develop widely. While in closed geochemical systems at moderate-deep depth, feldspar dissolution is likely to gener…","author":[{"dropping-particle":"","family":"Yuan","given":"Guanghui","non-dropping-particle":"","parse-names":false,"suffix":""},{"dropping-particle":"","family":"Cao","given":"Yingchang","non-dropping-particle":"","parse-names":false,"suffix":""},{"dropping-particle":"","family":"Schulz","given":"Hans Martin","non-dropping-particle":"","parse-names":false,"suffix":""},{"dropping-particle":"","family":"Hao","given":"Fang","non-dropping-particle":"","parse-names":false,"suffix":""},{"dropping-particle":"","family":"Gluyas","given":"Jon","non-dropping-particle":"","parse-names":false,"suffix":""},{"dropping-particle":"","family":"Liu","given":"Keyu","non-dropping-particle":"","parse-names":false,"suffix":""},{"dropping-particle":"","family":"Yang","given":"Tian","non-dropping-particle":"","parse-names":false,"suffix":""},{"dropping-particle":"","family":"Wang","given":"Yanzhong","non-dropping-particle":"","parse-names":false,"suffix":""},{"dropping-particle":"","family":"Xi","given":"Kelai","non-dropping-particle":"","parse-names":false,"suffix":""},{"dropping-particle":"","family":"Li","given":"Fulai","non-dropping-particle":"","parse-names":false,"suffix":""}],"container-title":"Earth-Science Reviews","id":"ITEM-1","issued":{"date-parts":[["2019"]]},"page":"114-140","title":"A review of feldspar alteration and its geological significance in sedimentary basins: From shallow aquifers to deep hydrocarbon reservoirs","type":"article-journal","volume":"191"},"uris":["http://www.mendeley.com/documents/?uuid=2b462a2b-4c3d-46d4-907e-bdbf9da2a69f"]}],"mendeley":{"formattedCitation":"(Yuan et al., 2019)","plainTextFormattedCitation":"(Yuan et al., 2019)","previouslyFormattedCitation":"(Yuan et al., 2019)"},"properties":{"noteIndex":0},"schema":"https://github.com/citation-style-language/schema/raw/master/csl-citation.json"}</w:instrText>
      </w:r>
      <w:r>
        <w:rPr>
          <w:rFonts w:ascii="Times New Roman" w:eastAsia="Times New Roman" w:hAnsi="Times New Roman" w:cs="Times New Roman"/>
        </w:rPr>
        <w:fldChar w:fldCharType="separate"/>
      </w:r>
      <w:r w:rsidRPr="002E2F84">
        <w:rPr>
          <w:rFonts w:ascii="Times New Roman" w:eastAsia="Times New Roman" w:hAnsi="Times New Roman" w:cs="Times New Roman"/>
          <w:noProof/>
        </w:rPr>
        <w:t>(Yuan et al., 2019)</w:t>
      </w:r>
      <w:r>
        <w:rPr>
          <w:rFonts w:ascii="Times New Roman" w:eastAsia="Times New Roman" w:hAnsi="Times New Roman" w:cs="Times New Roman"/>
        </w:rPr>
        <w:fldChar w:fldCharType="end"/>
      </w:r>
      <w:r w:rsidRPr="002E2F84">
        <w:rPr>
          <w:rFonts w:ascii="Times New Roman" w:eastAsia="Times New Roman" w:hAnsi="Times New Roman" w:cs="Times New Roman"/>
        </w:rPr>
        <w:t xml:space="preserve">. This interpretation is supported by the high Chemical Index of Alteration (CIA) values and the position of the samples on the ternary plot (Figure </w:t>
      </w:r>
      <w:r>
        <w:rPr>
          <w:rFonts w:ascii="Times New Roman" w:eastAsia="Times New Roman" w:hAnsi="Times New Roman" w:cs="Times New Roman"/>
        </w:rPr>
        <w:t>7</w:t>
      </w:r>
      <w:r w:rsidRPr="002E2F84">
        <w:rPr>
          <w:rFonts w:ascii="Times New Roman" w:eastAsia="Times New Roman" w:hAnsi="Times New Roman" w:cs="Times New Roman"/>
        </w:rPr>
        <w:t xml:space="preserve">), both of which reflect intense weathering conditions. The depletion of these alkali and alkaline earth elements also suggests the absence of expandable clay minerals such as montmorillonite, which is consistent with the mineralogical results showing dominance of kaolinite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{"citationItems":[{"id":"ITEM-1","itemData":{"DOI":"https://doi.org/10.1016/j.clay.2018.05.001","ISSN":"0169-1317","abstract":"Kaolinite content of 10 raw Florida clays examined in this study was determined to be in the range of 70 to 90 mass %. This kaolinite content is sufficiently high for production of a potentially reactive pozzolanic material. The majority of the clays were at least partially disordered, which also indicates good pozzolanic activity of these materials after calcination. A good fit of the collected X-ray diffractograms during Rietveld refinement was obtained by using a combination of kaolinite, nacrite and dickite structures to allow modeling of stacking faults in kaolinite, adjusting for Fe3+ substitution and refining atomic coordinates. The results of kaolinite quantification were similar to those obtained by thermogravimetric analysis, which validates the proposed approach. Stoichiometric calculation also provided comparable results for all the clays, except for one sample where large overestimation of kaolinite content compared to X-ray diffraction and thermogravimetric analysis was observed. It was concluded that Florida clays present a promising potential source of supplementary cementitious materials for production of sustainable concrete.","author":[{"dropping-particle":"","family":"Lorentz","given":"Brandon","non-dropping-particle":"","parse-names":false,"suffix":""},{"dropping-particle":"","family":"Shanahan","given":"Natallia","non-dropping-particle":"","parse-names":false,"suffix":""},{"dropping-particle":"","family":"Stetsko","given":"Yuri P","non-dropping-particle":"","parse-names":false,"suffix":""},{"dropping-particle":"","family":"Zayed","given":"A","non-dropping-particle":"","parse-names":false,"suffix":""}],"container-title":"Applied Clay Science","id":"ITEM-1","issued":{"date-parts":[["2018"]]},"page":"326-333","title":"Characterization of Florida kaolin clays using multiple-technique approach","type":"article-journal","volume":"161"},"uris":["http://www.mendeley.com/documents/?uuid=d41a8ca8-c0cf-4e4f-bcd0-187531562e3d"]}],"mendeley":{"formattedCitation":"(Lorentz et al., 2018)","plainTextFormattedCitation":"(Lorentz et al., 2018)","previouslyFormattedCitation":"(Lorentz et al., 2018)"},"properties":{"noteIndex":0},"schema":"https://github.com/citation-style-language/schema/raw/master/csl-citation.json"}</w:instrText>
      </w:r>
      <w:r>
        <w:rPr>
          <w:rFonts w:ascii="Times New Roman" w:eastAsia="Times New Roman" w:hAnsi="Times New Roman" w:cs="Times New Roman"/>
        </w:rPr>
        <w:fldChar w:fldCharType="separate"/>
      </w:r>
      <w:r w:rsidRPr="002E2F84">
        <w:rPr>
          <w:rFonts w:ascii="Times New Roman" w:eastAsia="Times New Roman" w:hAnsi="Times New Roman" w:cs="Times New Roman"/>
          <w:noProof/>
        </w:rPr>
        <w:t>(Lorentz et al., 2018)</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14:paraId="3CC5AFE7" w14:textId="6B55184E" w:rsidR="00541F07" w:rsidRDefault="00541F07" w:rsidP="003E5EF9">
      <w:pPr>
        <w:spacing w:after="0" w:line="360" w:lineRule="auto"/>
        <w:sectPr w:rsidR="00541F07" w:rsidSect="00E87840">
          <w:headerReference w:type="even" r:id="rId16"/>
          <w:headerReference w:type="default" r:id="rId17"/>
          <w:footerReference w:type="default" r:id="rId18"/>
          <w:headerReference w:type="first" r:id="rId19"/>
          <w:footerReference w:type="first" r:id="rId20"/>
          <w:pgSz w:w="12240" w:h="15840"/>
          <w:pgMar w:top="1440" w:right="1440" w:bottom="1440" w:left="1440" w:header="720" w:footer="720" w:gutter="0"/>
          <w:pgNumType w:start="103"/>
          <w:cols w:space="720"/>
          <w:titlePg/>
          <w:docGrid w:linePitch="326"/>
        </w:sectPr>
      </w:pPr>
    </w:p>
    <w:p w14:paraId="06F9FBC6" w14:textId="77777777" w:rsidR="00D6590C" w:rsidRDefault="00D6590C" w:rsidP="00D6590C">
      <w:pPr>
        <w:spacing w:after="0"/>
        <w:jc w:val="center"/>
      </w:pPr>
      <w:r>
        <w:rPr>
          <w:noProof/>
        </w:rPr>
        <w:lastRenderedPageBreak/>
        <w:drawing>
          <wp:inline distT="0" distB="0" distL="0" distR="0" wp14:anchorId="13D37F11" wp14:editId="33BE58D6">
            <wp:extent cx="7278624" cy="4928616"/>
            <wp:effectExtent l="0" t="0" r="0" b="0"/>
            <wp:docPr id="1684341419" name="image4.png" descr="A collage of graph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ollage of graphs&#10;&#10;Description automatically generated"/>
                    <pic:cNvPicPr preferRelativeResize="0"/>
                  </pic:nvPicPr>
                  <pic:blipFill>
                    <a:blip r:embed="rId21"/>
                    <a:srcRect/>
                    <a:stretch>
                      <a:fillRect/>
                    </a:stretch>
                  </pic:blipFill>
                  <pic:spPr>
                    <a:xfrm>
                      <a:off x="0" y="0"/>
                      <a:ext cx="7278624" cy="4928616"/>
                    </a:xfrm>
                    <a:prstGeom prst="rect">
                      <a:avLst/>
                    </a:prstGeom>
                    <a:ln/>
                  </pic:spPr>
                </pic:pic>
              </a:graphicData>
            </a:graphic>
          </wp:inline>
        </w:drawing>
      </w:r>
    </w:p>
    <w:p w14:paraId="3F3CA004" w14:textId="77777777" w:rsidR="00D6590C" w:rsidRDefault="00D6590C" w:rsidP="00D6590C">
      <w:pPr>
        <w:spacing w:after="0"/>
        <w:jc w:val="center"/>
        <w:rPr>
          <w:rFonts w:ascii="Times New Roman" w:eastAsia="Times New Roman" w:hAnsi="Times New Roman" w:cs="Times New Roman"/>
        </w:rPr>
        <w:sectPr w:rsidR="00D6590C" w:rsidSect="00371C2F">
          <w:pgSz w:w="15840" w:h="12240" w:orient="landscape"/>
          <w:pgMar w:top="1440" w:right="1440" w:bottom="1440" w:left="1440" w:header="720" w:footer="720" w:gutter="0"/>
          <w:cols w:space="720"/>
          <w:docGrid w:linePitch="326"/>
        </w:sectPr>
      </w:pPr>
      <w:r>
        <w:rPr>
          <w:rFonts w:ascii="Times New Roman" w:eastAsia="Times New Roman" w:hAnsi="Times New Roman" w:cs="Times New Roman"/>
        </w:rPr>
        <w:t>Figure 6. XRD diffractogram for clay samples in the study area.</w:t>
      </w:r>
    </w:p>
    <w:p w14:paraId="6D7CD374" w14:textId="77777777" w:rsidR="00541F07" w:rsidRPr="00AB695E" w:rsidRDefault="00541F07" w:rsidP="00541F07">
      <w:pPr>
        <w:spacing w:after="0" w:line="360" w:lineRule="auto"/>
        <w:rPr>
          <w:rFonts w:ascii="Times New Roman" w:eastAsia="Times New Roman" w:hAnsi="Times New Roman" w:cs="Times New Roman"/>
        </w:rPr>
      </w:pPr>
      <w:r w:rsidRPr="0027508A">
        <w:rPr>
          <w:rFonts w:ascii="Times New Roman" w:eastAsia="Times New Roman" w:hAnsi="Times New Roman" w:cs="Times New Roman"/>
        </w:rPr>
        <w:lastRenderedPageBreak/>
        <w:t xml:space="preserve">The low concentrations of MgO and CaO indicate depletion of carbonate-related components and support a felsic provenance for the clay deposits </w:t>
      </w:r>
      <w:r>
        <w:rPr>
          <w:rFonts w:ascii="Times New Roman" w:eastAsia="Times New Roman" w:hAnsi="Times New Roman" w:cs="Times New Roman"/>
        </w:rPr>
        <w:t xml:space="preserve">(Onyekuru et al., 2018; Lei et al., 2022). </w:t>
      </w:r>
      <w:r w:rsidRPr="004B3380">
        <w:rPr>
          <w:rFonts w:ascii="Times New Roman" w:eastAsia="Times New Roman" w:hAnsi="Times New Roman" w:cs="Times New Roman"/>
        </w:rPr>
        <w:t xml:space="preserve">The relatively elevated </w:t>
      </w:r>
      <w:r w:rsidRPr="00AB695E">
        <w:rPr>
          <w:rFonts w:ascii="Times New Roman" w:eastAsia="Times New Roman" w:hAnsi="Times New Roman" w:cs="Times New Roman"/>
        </w:rPr>
        <w:t>Fe</w:t>
      </w:r>
      <w:r w:rsidRPr="00AB695E">
        <w:rPr>
          <w:rFonts w:ascii="Times New Roman" w:eastAsia="Times New Roman" w:hAnsi="Times New Roman" w:cs="Times New Roman"/>
          <w:vertAlign w:val="subscript"/>
        </w:rPr>
        <w:t>2</w:t>
      </w:r>
      <w:r w:rsidRPr="00AB695E">
        <w:rPr>
          <w:rFonts w:ascii="Times New Roman" w:eastAsia="Times New Roman" w:hAnsi="Times New Roman" w:cs="Times New Roman"/>
        </w:rPr>
        <w:t>O</w:t>
      </w:r>
      <w:r w:rsidRPr="00AB695E">
        <w:rPr>
          <w:rFonts w:ascii="Times New Roman" w:eastAsia="Times New Roman" w:hAnsi="Times New Roman" w:cs="Times New Roman"/>
          <w:vertAlign w:val="subscript"/>
        </w:rPr>
        <w:t>3</w:t>
      </w:r>
      <w:r>
        <w:rPr>
          <w:rFonts w:ascii="Times New Roman" w:eastAsia="Times New Roman" w:hAnsi="Times New Roman" w:cs="Times New Roman"/>
        </w:rPr>
        <w:t xml:space="preserve"> </w:t>
      </w:r>
      <w:r w:rsidRPr="004B3380">
        <w:rPr>
          <w:rFonts w:ascii="Times New Roman" w:eastAsia="Times New Roman" w:hAnsi="Times New Roman" w:cs="Times New Roman"/>
        </w:rPr>
        <w:t xml:space="preserve">content observed in some samples is consistent with the ferruginous nature of associated lithologies within the Lafia Formation, where </w:t>
      </w:r>
      <w:r>
        <w:rPr>
          <w:rFonts w:ascii="Times New Roman" w:eastAsia="Times New Roman" w:hAnsi="Times New Roman" w:cs="Times New Roman"/>
        </w:rPr>
        <w:t>ferruginized</w:t>
      </w:r>
      <w:r w:rsidRPr="004B3380">
        <w:rPr>
          <w:rFonts w:ascii="Times New Roman" w:eastAsia="Times New Roman" w:hAnsi="Times New Roman" w:cs="Times New Roman"/>
        </w:rPr>
        <w:t xml:space="preserve"> sandstones are interbedded with clay, siltstone, and sandstone units. However, XRD analysis does not indicate the presence of identifiable iron oxide minerals such as hematite or goethite. This suggests that the iron is likely present in dispersed, amorphous, or poorly crystalline forms below the detection limit of XRD, rather than as discrete crystalline mineral phases. The observed </w:t>
      </w:r>
      <w:r w:rsidRPr="00AB695E">
        <w:rPr>
          <w:rFonts w:ascii="Times New Roman" w:eastAsia="Times New Roman" w:hAnsi="Times New Roman" w:cs="Times New Roman"/>
        </w:rPr>
        <w:t>Fe</w:t>
      </w:r>
      <w:r w:rsidRPr="00AB695E">
        <w:rPr>
          <w:rFonts w:ascii="Times New Roman" w:eastAsia="Times New Roman" w:hAnsi="Times New Roman" w:cs="Times New Roman"/>
          <w:vertAlign w:val="subscript"/>
        </w:rPr>
        <w:t>2</w:t>
      </w:r>
      <w:r w:rsidRPr="00AB695E">
        <w:rPr>
          <w:rFonts w:ascii="Times New Roman" w:eastAsia="Times New Roman" w:hAnsi="Times New Roman" w:cs="Times New Roman"/>
        </w:rPr>
        <w:t>O</w:t>
      </w:r>
      <w:r w:rsidRPr="00AB695E">
        <w:rPr>
          <w:rFonts w:ascii="Times New Roman" w:eastAsia="Times New Roman" w:hAnsi="Times New Roman" w:cs="Times New Roman"/>
          <w:vertAlign w:val="subscript"/>
        </w:rPr>
        <w:t>3</w:t>
      </w:r>
      <w:r w:rsidRPr="004B3380">
        <w:rPr>
          <w:rFonts w:ascii="Times New Roman" w:eastAsia="Times New Roman" w:hAnsi="Times New Roman" w:cs="Times New Roman"/>
        </w:rPr>
        <w:t xml:space="preserve"> enrichment is therefore interpreted as reflecting lithological association rather than a specific post-depositional process.</w:t>
      </w:r>
    </w:p>
    <w:p w14:paraId="68C8EFCA" w14:textId="77777777" w:rsidR="00541F07" w:rsidRDefault="00541F07" w:rsidP="00541F07">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As kaolinite structurally contains negligible Mg, </w:t>
      </w:r>
      <w:r w:rsidRPr="000E4877">
        <w:rPr>
          <w:rFonts w:ascii="Times New Roman" w:eastAsia="Times New Roman" w:hAnsi="Times New Roman" w:cs="Times New Roman"/>
        </w:rPr>
        <w:t xml:space="preserve">the elevated MgO value observed in one Doma sample </w:t>
      </w:r>
      <w:r>
        <w:rPr>
          <w:rFonts w:ascii="Times New Roman" w:eastAsia="Times New Roman" w:hAnsi="Times New Roman" w:cs="Times New Roman"/>
        </w:rPr>
        <w:t xml:space="preserve">is considered a </w:t>
      </w:r>
      <w:r w:rsidRPr="0061753A">
        <w:rPr>
          <w:rFonts w:ascii="Times New Roman" w:eastAsia="Times New Roman" w:hAnsi="Times New Roman" w:cs="Times New Roman"/>
        </w:rPr>
        <w:t>localized geochemical outlier rather than a representative feature of the regional deposit.</w:t>
      </w:r>
      <w:r>
        <w:rPr>
          <w:rFonts w:ascii="Times New Roman" w:eastAsia="Times New Roman" w:hAnsi="Times New Roman" w:cs="Times New Roman"/>
        </w:rPr>
        <w:t xml:space="preserve"> Since</w:t>
      </w:r>
      <w:r w:rsidRPr="004922DA">
        <w:rPr>
          <w:rFonts w:ascii="Times New Roman" w:eastAsia="Times New Roman" w:hAnsi="Times New Roman" w:cs="Times New Roman"/>
        </w:rPr>
        <w:t xml:space="preserve"> XRD analysis did not identify specific Mg-bearing phases such as smectite or chlorite, the mineralogical host of this enrichment remains unconfirmed at the current resolution. Consequently, this occurrence is treated as localized compositional variability without further inference of widespread geological processes</w:t>
      </w:r>
      <w:r>
        <w:rPr>
          <w:rFonts w:ascii="Times New Roman" w:eastAsia="Times New Roman" w:hAnsi="Times New Roman" w:cs="Times New Roman"/>
        </w:rPr>
        <w:t>.</w:t>
      </w:r>
    </w:p>
    <w:p w14:paraId="50C3E6AF" w14:textId="40F00C27" w:rsidR="00541F07" w:rsidRDefault="00541F07" w:rsidP="00541F07">
      <w:pPr>
        <w:spacing w:after="0" w:line="360" w:lineRule="auto"/>
        <w:rPr>
          <w:rFonts w:ascii="Times New Roman" w:eastAsia="Times New Roman" w:hAnsi="Times New Roman" w:cs="Times New Roman"/>
        </w:rPr>
      </w:pPr>
      <w:r w:rsidRPr="00656493">
        <w:rPr>
          <w:rFonts w:ascii="Times New Roman" w:eastAsia="Times New Roman" w:hAnsi="Times New Roman" w:cs="Times New Roman"/>
        </w:rPr>
        <w:t>The high Chemical Index of Alteration (CIA) values indicate intense chemical weathering</w:t>
      </w:r>
      <w:r>
        <w:rPr>
          <w:rFonts w:ascii="Times New Roman" w:eastAsia="Times New Roman" w:hAnsi="Times New Roman" w:cs="Times New Roman"/>
        </w:rPr>
        <w:t xml:space="preserve"> (Figure 8)</w:t>
      </w:r>
      <w:r w:rsidRPr="00656493">
        <w:rPr>
          <w:rFonts w:ascii="Times New Roman" w:eastAsia="Times New Roman" w:hAnsi="Times New Roman" w:cs="Times New Roman"/>
        </w:rPr>
        <w:t xml:space="preserve">, </w:t>
      </w:r>
      <w:r>
        <w:rPr>
          <w:rFonts w:ascii="Times New Roman" w:eastAsia="Times New Roman" w:hAnsi="Times New Roman" w:cs="Times New Roman"/>
        </w:rPr>
        <w:t>characterized</w:t>
      </w:r>
      <w:r w:rsidRPr="00656493">
        <w:rPr>
          <w:rFonts w:ascii="Times New Roman" w:eastAsia="Times New Roman" w:hAnsi="Times New Roman" w:cs="Times New Roman"/>
        </w:rPr>
        <w:t xml:space="preserve"> by significant depletion of mobile cations such as Ca</w:t>
      </w:r>
      <w:r>
        <w:rPr>
          <w:rFonts w:ascii="Times New Roman" w:eastAsia="Times New Roman" w:hAnsi="Times New Roman" w:cs="Times New Roman"/>
          <w:vertAlign w:val="superscript"/>
        </w:rPr>
        <w:t>2+</w:t>
      </w:r>
      <w:r w:rsidRPr="00656493">
        <w:rPr>
          <w:rFonts w:ascii="Times New Roman" w:eastAsia="Times New Roman" w:hAnsi="Times New Roman" w:cs="Times New Roman"/>
        </w:rPr>
        <w:t>, Na⁺, and K⁺ during feldspar alteration</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icarus.2018.11.004","author":[{"dropping-particle":"","family":"Mangold","given":"N","non-dropping-particle":"","parse-names":false,"suffix":""},{"dropping-particle":"","family":"Dehouck","given":"E","non-dropping-particle":"","parse-names":false,"suffix":""},{"dropping-particle":"","family":"Fedo","given":"C","non-dropping-particle":"","parse-names":false,"suffix":""},{"dropping-particle":"","family":"Forni","given":"O","non-dropping-particle":"","parse-names":false,"suffix":""},{"dropping-particle":"","family":"Achilles","given":"C","non-dropping-particle":"","parse-names":false,"suffix":""},{"dropping-particle":"","family":"Bristow","given":"T","non-dropping-particle":"","parse-names":false,"suffix":""},{"dropping-particle":"","family":"Downs","given":"R","non-dropping-particle":"","parse-names":false,"suffix":""},{"dropping-particle":"","family":"Frydenvang","given":"J","non-dropping-particle":"","parse-names":false,"suffix":""},{"dropping-particle":"","family":"Gasnault","given":"O","non-dropping-particle":"","parse-names":false,"suffix":""},{"dropping-particle":"","family":"L'Haridon","given":"J","non-dropping-particle":"","parse-names":false,"suffix":""},{"dropping-particle":"","family":"Deit","given":"L","non-dropping-particle":"","parse-names":false,"suffix":""},{"dropping-particle":"","family":"Maurice","given":"S","non-dropping-particle":"","parse-names":false,"suffix":""},{"dropping-particle":"","family":"McLennan","given":"S","non-dropping-particle":"","parse-names":false,"suffix":""},{"dropping-particle":"","family":"Meslin","given":"P","non-dropping-particle":"","parse-names":false,"suffix":""},{"dropping-particle":"","family":"Morrison","given":"S","non-dropping-particle":"","parse-names":false,"suffix":""},{"dropping-particle":"","family":"Newsom","given":"H","non-dropping-particle":"","parse-names":false,"suffix":""},{"dropping-particle":"","family":"Rampe","given":"E","non-dropping-particle":"","parse-names":false,"suffix":""},{"dropping-particle":"","family":"Rapin","given":"W","non-dropping-particle":"","parse-names":false,"suffix":""},{"dropping-particle":"","family":"Rivera‐Hernández","given":"F","non-dropping-particle":"","parse-names":false,"suffix":""},{"dropping-particle":"","family":"Salvatore","given":"M","non-dropping-particle":"","parse-names":false,"suffix":""},{"dropping-particle":"","family":"Wiens","given":"R","non-dropping-particle":"","parse-names":false,"suffix":""}],"container-title":"Icarus","id":"ITEM-1","issued":{"date-parts":[["2019"]]},"title":"Chemical alteration of fine-grained sedimentary rocks at Gale crater","type":"article-journal"},"uris":["http://www.mendeley.com/documents/?uuid=e1ce266e-2bed-41e4-8562-b449c4a7a739"]}],"mendeley":{"formattedCitation":"(Mangold et al., 2019)","plainTextFormattedCitation":"(Mangold et al., 2019)","previouslyFormattedCitation":"(Mangold et al., 2019)"},"properties":{"noteIndex":0},"schema":"https://github.com/citation-style-language/schema/raw/master/csl-citation.json"}</w:instrText>
      </w:r>
      <w:r>
        <w:rPr>
          <w:rFonts w:ascii="Times New Roman" w:eastAsia="Times New Roman" w:hAnsi="Times New Roman" w:cs="Times New Roman"/>
        </w:rPr>
        <w:fldChar w:fldCharType="separate"/>
      </w:r>
      <w:r w:rsidRPr="00656493">
        <w:rPr>
          <w:rFonts w:ascii="Times New Roman" w:eastAsia="Times New Roman" w:hAnsi="Times New Roman" w:cs="Times New Roman"/>
          <w:noProof/>
        </w:rPr>
        <w:t>(Mangold et al., 2019)</w:t>
      </w:r>
      <w:r>
        <w:rPr>
          <w:rFonts w:ascii="Times New Roman" w:eastAsia="Times New Roman" w:hAnsi="Times New Roman" w:cs="Times New Roman"/>
        </w:rPr>
        <w:fldChar w:fldCharType="end"/>
      </w:r>
      <w:r w:rsidRPr="00656493">
        <w:rPr>
          <w:rFonts w:ascii="Times New Roman" w:eastAsia="Times New Roman" w:hAnsi="Times New Roman" w:cs="Times New Roman"/>
        </w:rPr>
        <w:t xml:space="preserve">. This reflects advanced weathering of the source materials under humid conditions, leading to enrichment in relatively immobile Al-bearing phases such as kaolinite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palaeo.2010.05.015","author":[{"dropping-particle":"","family":"Goldberg","given":"K","non-dropping-particle":"","parse-names":false,"suffix":""},{"dropping-particle":"","family":"Humayun","given":"M","non-dropping-particle":"","parse-names":false,"suffix":""}],"container-title":"Palaeogeography, Palaeoclimatology, Palaeoecology","id":"ITEM-1","issued":{"date-parts":[["2010"]]},"page":"175-183","title":"The applicability of the Chemical Index of Alteration as a paleoclimatic indicator: An example from the Permian of the Paraná Basin, Brazil","type":"article-journal","volume":"293"},"uris":["http://www.mendeley.com/documents/?uuid=fcb804b4-ab22-4c68-9bca-feeb1d3fe609"]}],"mendeley":{"formattedCitation":"(Goldberg &amp; Humayun, 2010)","plainTextFormattedCitation":"(Goldberg &amp; Humayun, 2010)","previouslyFormattedCitation":"(Goldberg &amp; Humayun, 2010)"},"properties":{"noteIndex":0},"schema":"https://github.com/citation-style-language/schema/raw/master/csl-citation.json"}</w:instrText>
      </w:r>
      <w:r>
        <w:rPr>
          <w:rFonts w:ascii="Times New Roman" w:eastAsia="Times New Roman" w:hAnsi="Times New Roman" w:cs="Times New Roman"/>
        </w:rPr>
        <w:fldChar w:fldCharType="separate"/>
      </w:r>
      <w:r w:rsidRPr="00656493">
        <w:rPr>
          <w:rFonts w:ascii="Times New Roman" w:eastAsia="Times New Roman" w:hAnsi="Times New Roman" w:cs="Times New Roman"/>
          <w:noProof/>
        </w:rPr>
        <w:t>(Goldberg &amp; Humayun, 2010)</w:t>
      </w:r>
      <w:r>
        <w:rPr>
          <w:rFonts w:ascii="Times New Roman" w:eastAsia="Times New Roman" w:hAnsi="Times New Roman" w:cs="Times New Roman"/>
        </w:rPr>
        <w:fldChar w:fldCharType="end"/>
      </w:r>
      <w:r w:rsidRPr="00656493">
        <w:rPr>
          <w:rFonts w:ascii="Times New Roman" w:eastAsia="Times New Roman" w:hAnsi="Times New Roman" w:cs="Times New Roman"/>
        </w:rPr>
        <w:t>. The slightly higher CIA values observed in Lafia samples suggest a marginally greater degree of weathering compared to those from Doma, consistent with their relatively higher kaolinite and Al</w:t>
      </w:r>
      <w:r>
        <w:rPr>
          <w:rFonts w:ascii="Times New Roman" w:eastAsia="Times New Roman" w:hAnsi="Times New Roman" w:cs="Times New Roman"/>
          <w:vertAlign w:val="subscript"/>
        </w:rPr>
        <w:t>2</w:t>
      </w:r>
      <w:r w:rsidRPr="00656493">
        <w:rPr>
          <w:rFonts w:ascii="Times New Roman" w:eastAsia="Times New Roman" w:hAnsi="Times New Roman" w:cs="Times New Roman"/>
        </w:rPr>
        <w:t>O</w:t>
      </w:r>
      <w:r>
        <w:rPr>
          <w:rFonts w:ascii="Times New Roman" w:eastAsia="Times New Roman" w:hAnsi="Times New Roman" w:cs="Times New Roman"/>
          <w:vertAlign w:val="subscript"/>
        </w:rPr>
        <w:t>3</w:t>
      </w:r>
      <w:r w:rsidRPr="00656493">
        <w:rPr>
          <w:rFonts w:ascii="Times New Roman" w:eastAsia="Times New Roman" w:hAnsi="Times New Roman" w:cs="Times New Roman"/>
        </w:rPr>
        <w:t xml:space="preserve"> contents. Overall, the CIA data supports derivation from strongly weathered felsic source rocks and significant pre-depositional chemical alteration</w:t>
      </w:r>
      <w:r>
        <w:rPr>
          <w:rFonts w:ascii="Times New Roman" w:eastAsia="Times New Roman" w:hAnsi="Times New Roman" w:cs="Times New Roman"/>
        </w:rPr>
        <w:t>.</w:t>
      </w:r>
    </w:p>
    <w:p w14:paraId="2A004637" w14:textId="7CE8308B" w:rsidR="00541F07" w:rsidRDefault="00541F07" w:rsidP="00541F07">
      <w:pPr>
        <w:spacing w:after="0" w:line="360" w:lineRule="auto"/>
        <w:rPr>
          <w:rFonts w:ascii="Times New Roman" w:eastAsia="Times New Roman" w:hAnsi="Times New Roman" w:cs="Times New Roman"/>
        </w:rPr>
      </w:pPr>
      <w:r w:rsidRPr="00656493">
        <w:rPr>
          <w:rFonts w:ascii="Times New Roman" w:eastAsia="Times New Roman" w:hAnsi="Times New Roman" w:cs="Times New Roman"/>
        </w:rPr>
        <w:t>The high Chemical Index of Alteration (CIA) values indicate intense chemical weathering</w:t>
      </w:r>
      <w:r>
        <w:rPr>
          <w:rFonts w:ascii="Times New Roman" w:eastAsia="Times New Roman" w:hAnsi="Times New Roman" w:cs="Times New Roman"/>
        </w:rPr>
        <w:t xml:space="preserve"> (Figure 8)</w:t>
      </w:r>
      <w:r w:rsidRPr="00656493">
        <w:rPr>
          <w:rFonts w:ascii="Times New Roman" w:eastAsia="Times New Roman" w:hAnsi="Times New Roman" w:cs="Times New Roman"/>
        </w:rPr>
        <w:t xml:space="preserve">, </w:t>
      </w:r>
      <w:r>
        <w:rPr>
          <w:rFonts w:ascii="Times New Roman" w:eastAsia="Times New Roman" w:hAnsi="Times New Roman" w:cs="Times New Roman"/>
        </w:rPr>
        <w:t>characterized</w:t>
      </w:r>
      <w:r w:rsidRPr="00656493">
        <w:rPr>
          <w:rFonts w:ascii="Times New Roman" w:eastAsia="Times New Roman" w:hAnsi="Times New Roman" w:cs="Times New Roman"/>
        </w:rPr>
        <w:t xml:space="preserve"> by significant depletion of mobile cations such as Ca</w:t>
      </w:r>
      <w:r>
        <w:rPr>
          <w:rFonts w:ascii="Times New Roman" w:eastAsia="Times New Roman" w:hAnsi="Times New Roman" w:cs="Times New Roman"/>
          <w:vertAlign w:val="superscript"/>
        </w:rPr>
        <w:t>2+</w:t>
      </w:r>
      <w:r w:rsidRPr="00656493">
        <w:rPr>
          <w:rFonts w:ascii="Times New Roman" w:eastAsia="Times New Roman" w:hAnsi="Times New Roman" w:cs="Times New Roman"/>
        </w:rPr>
        <w:t>, Na⁺, and K⁺ during feldspar alteration</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icarus.2018.11.004","author":[{"dropping-particle":"","family":"Mangold","given":"N","non-dropping-particle":"","parse-names":false,"suffix":""},{"dropping-particle":"","family":"Dehouck","given":"E","non-dropping-particle":"","parse-names":false,"suffix":""},{"dropping-particle":"","family":"Fedo","given":"C","non-dropping-particle":"","parse-names":false,"suffix":""},{"dropping-particle":"","family":"Forni","given":"O","non-dropping-particle":"","parse-names":false,"suffix":""},{"dropping-particle":"","family":"Achilles","given":"C","non-dropping-particle":"","parse-names":false,"suffix":""},{"dropping-particle":"","family":"Bristow","given":"T","non-dropping-particle":"","parse-names":false,"suffix":""},{"dropping-particle":"","family":"Downs","given":"R","non-dropping-particle":"","parse-names":false,"suffix":""},{"dropping-particle":"","family":"Frydenvang","given":"J","non-dropping-particle":"","parse-names":false,"suffix":""},{"dropping-particle":"","family":"Gasnault","given":"O","non-dropping-particle":"","parse-names":false,"suffix":""},{"dropping-particle":"","family":"L'Haridon","given":"J","non-dropping-particle":"","parse-names":false,"suffix":""},{"dropping-particle":"","family":"Deit","given":"L","non-dropping-particle":"","parse-names":false,"suffix":""},{"dropping-particle":"","family":"Maurice","given":"S","non-dropping-particle":"","parse-names":false,"suffix":""},{"dropping-particle":"","family":"McLennan","given":"S","non-dropping-particle":"","parse-names":false,"suffix":""},{"dropping-particle":"","family":"Meslin","given":"P","non-dropping-particle":"","parse-names":false,"suffix":""},{"dropping-particle":"","family":"Morrison","given":"S","non-dropping-particle":"","parse-names":false,"suffix":""},{"dropping-particle":"","family":"Newsom","given":"H","non-dropping-particle":"","parse-names":false,"suffix":""},{"dropping-particle":"","family":"Rampe","given":"E","non-dropping-particle":"","parse-names":false,"suffix":""},{"dropping-particle":"","family":"Rapin","given":"W","non-dropping-particle":"","parse-names":false,"suffix":""},{"dropping-particle":"","family":"Rivera‐Hernández","given":"F","non-dropping-particle":"","parse-names":false,"suffix":""},{"dropping-particle":"","family":"Salvatore","given":"M","non-dropping-particle":"","parse-names":false,"suffix":""},{"dropping-particle":"","family":"Wiens","given":"R","non-dropping-particle":"","parse-names":false,"suffix":""}],"container-title":"Icarus","id":"ITEM-1","issued":{"date-parts":[["2019"]]},"title":"Chemical alteration of fine-grained sedimentary rocks at Gale crater","type":"article-journal"},"uris":["http://www.mendeley.com/documents/?uuid=e1ce266e-2bed-41e4-8562-b449c4a7a739"]}],"mendeley":{"formattedCitation":"(Mangold et al., 2019)","plainTextFormattedCitation":"(Mangold et al., 2019)","previouslyFormattedCitation":"(Mangold et al., 2019)"},"properties":{"noteIndex":0},"schema":"https://github.com/citation-style-language/schema/raw/master/csl-citation.json"}</w:instrText>
      </w:r>
      <w:r>
        <w:rPr>
          <w:rFonts w:ascii="Times New Roman" w:eastAsia="Times New Roman" w:hAnsi="Times New Roman" w:cs="Times New Roman"/>
        </w:rPr>
        <w:fldChar w:fldCharType="separate"/>
      </w:r>
      <w:r w:rsidRPr="00656493">
        <w:rPr>
          <w:rFonts w:ascii="Times New Roman" w:eastAsia="Times New Roman" w:hAnsi="Times New Roman" w:cs="Times New Roman"/>
          <w:noProof/>
        </w:rPr>
        <w:t>(Mangold et al., 2019)</w:t>
      </w:r>
      <w:r>
        <w:rPr>
          <w:rFonts w:ascii="Times New Roman" w:eastAsia="Times New Roman" w:hAnsi="Times New Roman" w:cs="Times New Roman"/>
        </w:rPr>
        <w:fldChar w:fldCharType="end"/>
      </w:r>
      <w:r w:rsidRPr="00656493">
        <w:rPr>
          <w:rFonts w:ascii="Times New Roman" w:eastAsia="Times New Roman" w:hAnsi="Times New Roman" w:cs="Times New Roman"/>
        </w:rPr>
        <w:t xml:space="preserve">. This reflects advanced weathering of the source materials under humid conditions, leading to enrichment in relatively immobile Al-bearing phases such as kaolinite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palaeo.2010.05.015","author":[{"dropping-particle":"","family":"Goldberg","given":"K","non-dropping-particle":"","parse-names":false,"suffix":""},{"dropping-particle":"","family":"Humayun","given":"M","non-dropping-particle":"","parse-names":false,"suffix":""}],"container-title":"Palaeogeography, Palaeoclimatology, Palaeoecology","id":"ITEM-1","issued":{"date-parts":[["2010"]]},"page":"175-183","title":"The applicability of the Chemical Index of Alteration as a paleoclimatic indicator: An example from the Permian of the Paraná Basin, Brazil","type":"article-journal","volume":"293"},"uris":["http://www.mendeley.com/documents/?uuid=fcb804b4-ab22-4c68-9bca-feeb1d3fe609"]}],"mendeley":{"formattedCitation":"(Goldberg &amp; Humayun, 2010)","plainTextFormattedCitation":"(Goldberg &amp; Humayun, 2010)","previouslyFormattedCitation":"(Goldberg &amp; Humayun, 2010)"},"properties":{"noteIndex":0},"schema":"https://github.com/citation-style-language/schema/raw/master/csl-citation.json"}</w:instrText>
      </w:r>
      <w:r>
        <w:rPr>
          <w:rFonts w:ascii="Times New Roman" w:eastAsia="Times New Roman" w:hAnsi="Times New Roman" w:cs="Times New Roman"/>
        </w:rPr>
        <w:fldChar w:fldCharType="separate"/>
      </w:r>
      <w:r w:rsidRPr="00656493">
        <w:rPr>
          <w:rFonts w:ascii="Times New Roman" w:eastAsia="Times New Roman" w:hAnsi="Times New Roman" w:cs="Times New Roman"/>
          <w:noProof/>
        </w:rPr>
        <w:t>(Goldberg &amp; Humayun, 2010)</w:t>
      </w:r>
      <w:r>
        <w:rPr>
          <w:rFonts w:ascii="Times New Roman" w:eastAsia="Times New Roman" w:hAnsi="Times New Roman" w:cs="Times New Roman"/>
        </w:rPr>
        <w:fldChar w:fldCharType="end"/>
      </w:r>
      <w:r w:rsidRPr="00656493">
        <w:rPr>
          <w:rFonts w:ascii="Times New Roman" w:eastAsia="Times New Roman" w:hAnsi="Times New Roman" w:cs="Times New Roman"/>
        </w:rPr>
        <w:t>. The slightly higher CIA values observed in Lafia samples suggest a marginally greater degree of weathering compared to those from Doma, consistent with their relatively higher kaolinite and Al</w:t>
      </w:r>
      <w:r>
        <w:rPr>
          <w:rFonts w:ascii="Times New Roman" w:eastAsia="Times New Roman" w:hAnsi="Times New Roman" w:cs="Times New Roman"/>
          <w:vertAlign w:val="subscript"/>
        </w:rPr>
        <w:t>2</w:t>
      </w:r>
      <w:r w:rsidRPr="00656493">
        <w:rPr>
          <w:rFonts w:ascii="Times New Roman" w:eastAsia="Times New Roman" w:hAnsi="Times New Roman" w:cs="Times New Roman"/>
        </w:rPr>
        <w:t>O</w:t>
      </w:r>
      <w:r>
        <w:rPr>
          <w:rFonts w:ascii="Times New Roman" w:eastAsia="Times New Roman" w:hAnsi="Times New Roman" w:cs="Times New Roman"/>
          <w:vertAlign w:val="subscript"/>
        </w:rPr>
        <w:t>3</w:t>
      </w:r>
      <w:r w:rsidRPr="00656493">
        <w:rPr>
          <w:rFonts w:ascii="Times New Roman" w:eastAsia="Times New Roman" w:hAnsi="Times New Roman" w:cs="Times New Roman"/>
        </w:rPr>
        <w:t xml:space="preserve"> contents. Overall, the CIA data supports derivation from strongly weathered felsic source rocks and significant pre-depositional chemical alteration</w:t>
      </w:r>
      <w:r>
        <w:rPr>
          <w:rFonts w:ascii="Times New Roman" w:eastAsia="Times New Roman" w:hAnsi="Times New Roman" w:cs="Times New Roman"/>
        </w:rPr>
        <w:t xml:space="preserve">. </w:t>
      </w:r>
    </w:p>
    <w:p w14:paraId="67927C4D" w14:textId="77777777" w:rsidR="00541F07" w:rsidRDefault="00541F07" w:rsidP="00541F07">
      <w:pPr>
        <w:spacing w:after="0"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2C45F506" wp14:editId="12D5B316">
            <wp:extent cx="4160520" cy="3538728"/>
            <wp:effectExtent l="0" t="0" r="0" b="5080"/>
            <wp:docPr id="1684341422" name="image2.png" descr="A diagram of a pyramid with Great Pyramid of Giza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diagram of a pyramid with Great Pyramid of Giza in the background&#10;&#10;Description automatically generated"/>
                    <pic:cNvPicPr preferRelativeResize="0"/>
                  </pic:nvPicPr>
                  <pic:blipFill>
                    <a:blip r:embed="rId22"/>
                    <a:srcRect/>
                    <a:stretch>
                      <a:fillRect/>
                    </a:stretch>
                  </pic:blipFill>
                  <pic:spPr>
                    <a:xfrm>
                      <a:off x="0" y="0"/>
                      <a:ext cx="4160520" cy="3538728"/>
                    </a:xfrm>
                    <a:prstGeom prst="rect">
                      <a:avLst/>
                    </a:prstGeom>
                    <a:ln/>
                  </pic:spPr>
                </pic:pic>
              </a:graphicData>
            </a:graphic>
          </wp:inline>
        </w:drawing>
      </w:r>
    </w:p>
    <w:p w14:paraId="79B78B62" w14:textId="77777777" w:rsidR="00541F07" w:rsidRDefault="00541F07" w:rsidP="00541F07">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7. Ternary plot showing the degree of alteration of clay in the study area (after Nesbitt &amp; Young, 1984)</w:t>
      </w:r>
    </w:p>
    <w:p w14:paraId="116B20A5" w14:textId="77777777" w:rsidR="00541F07" w:rsidRPr="00C6451B" w:rsidRDefault="00541F07" w:rsidP="00541F07">
      <w:pPr>
        <w:spacing w:after="0" w:line="360" w:lineRule="auto"/>
        <w:rPr>
          <w:rFonts w:ascii="Times New Roman" w:eastAsia="Times New Roman" w:hAnsi="Times New Roman" w:cs="Times New Roman"/>
        </w:rPr>
      </w:pPr>
      <w:r w:rsidRPr="00C6451B">
        <w:rPr>
          <w:rFonts w:ascii="Times New Roman" w:eastAsia="Times New Roman" w:hAnsi="Times New Roman" w:cs="Times New Roman"/>
        </w:rPr>
        <w:t xml:space="preserve">The grain size distribution indicates that the clay samples are predominantly silty clays according to the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{"citationItems":[{"id":"ITEM-1","itemData":{"author":[{"dropping-particle":"","family":"Shepard","given":"Francis P","non-dropping-particle":"","parse-names":false,"suffix":""}],"container-title":"Journal of Sedimentary Research","id":"ITEM-1","issued":{"date-parts":[["1954"]]},"page":"151-158","title":"Nomenclature Based on Sand-silt-clay Ratios","type":"article-journal","volume":"24"},"uris":["http://www.mendeley.com/documents/?uuid=3c1cc7c2-5ea9-470c-826d-54b1789c730a"]}],"mendeley":{"formattedCitation":"(Shepard, 1954)","manualFormatting":"Shepard (1954)","plainTextFormattedCitation":"(Shepard, 1954)","previouslyFormattedCitation":"(Shepard, 1954)"},"properties":{"noteIndex":0},"schema":"https://github.com/citation-style-language/schema/raw/master/csl-citation.json"}</w:instrText>
      </w:r>
      <w:r>
        <w:rPr>
          <w:rFonts w:ascii="Times New Roman" w:eastAsia="Times New Roman" w:hAnsi="Times New Roman" w:cs="Times New Roman"/>
        </w:rPr>
        <w:fldChar w:fldCharType="separate"/>
      </w:r>
      <w:r w:rsidRPr="00AB1DF9">
        <w:rPr>
          <w:rFonts w:ascii="Times New Roman" w:eastAsia="Times New Roman" w:hAnsi="Times New Roman" w:cs="Times New Roman"/>
          <w:noProof/>
        </w:rPr>
        <w:t xml:space="preserve">Shepard </w:t>
      </w:r>
      <w:r>
        <w:rPr>
          <w:rFonts w:ascii="Times New Roman" w:eastAsia="Times New Roman" w:hAnsi="Times New Roman" w:cs="Times New Roman"/>
          <w:noProof/>
        </w:rPr>
        <w:t>(</w:t>
      </w:r>
      <w:r w:rsidRPr="00AB1DF9">
        <w:rPr>
          <w:rFonts w:ascii="Times New Roman" w:eastAsia="Times New Roman" w:hAnsi="Times New Roman" w:cs="Times New Roman"/>
          <w:noProof/>
        </w:rPr>
        <w:t>1954)</w:t>
      </w:r>
      <w:r>
        <w:rPr>
          <w:rFonts w:ascii="Times New Roman" w:eastAsia="Times New Roman" w:hAnsi="Times New Roman" w:cs="Times New Roman"/>
        </w:rPr>
        <w:fldChar w:fldCharType="end"/>
      </w:r>
      <w:r w:rsidRPr="00C6451B">
        <w:rPr>
          <w:rFonts w:ascii="Times New Roman" w:eastAsia="Times New Roman" w:hAnsi="Times New Roman" w:cs="Times New Roman"/>
        </w:rPr>
        <w:t xml:space="preserve"> classification</w:t>
      </w:r>
      <w:r>
        <w:rPr>
          <w:rFonts w:ascii="Times New Roman" w:eastAsia="Times New Roman" w:hAnsi="Times New Roman" w:cs="Times New Roman"/>
        </w:rPr>
        <w:t xml:space="preserve"> (Figure 8)</w:t>
      </w:r>
      <w:r w:rsidRPr="00C6451B">
        <w:rPr>
          <w:rFonts w:ascii="Times New Roman" w:eastAsia="Times New Roman" w:hAnsi="Times New Roman" w:cs="Times New Roman"/>
        </w:rPr>
        <w:t>. Comparative analysis shows that Lafia samples contain a higher proportion of clay-sized particles, whereas Doma samples are relatively enriched in sand and silt fractions. This variation is consistent with differences in mineralogical composition, particularly the higher quartz content observed in Doma samples.</w:t>
      </w:r>
    </w:p>
    <w:p w14:paraId="274BE7E6" w14:textId="71C54DBA" w:rsidR="007F625C" w:rsidRPr="003E5EF9" w:rsidRDefault="00541F07" w:rsidP="007F625C">
      <w:pPr>
        <w:spacing w:after="0" w:line="360" w:lineRule="auto"/>
        <w:rPr>
          <w:rFonts w:ascii="Times New Roman" w:eastAsia="Times New Roman" w:hAnsi="Times New Roman" w:cs="Times New Roman"/>
        </w:rPr>
      </w:pPr>
      <w:r w:rsidRPr="00C6451B">
        <w:rPr>
          <w:rFonts w:ascii="Times New Roman" w:eastAsia="Times New Roman" w:hAnsi="Times New Roman" w:cs="Times New Roman"/>
        </w:rPr>
        <w:t xml:space="preserve">The particle size characteristics further influence the inferred hydrogeological properties of the clays. Based on the McManus (1988) classification (Figure </w:t>
      </w:r>
      <w:r>
        <w:rPr>
          <w:rFonts w:ascii="Times New Roman" w:eastAsia="Times New Roman" w:hAnsi="Times New Roman" w:cs="Times New Roman"/>
        </w:rPr>
        <w:t>9</w:t>
      </w:r>
      <w:r w:rsidRPr="00C6451B">
        <w:rPr>
          <w:rFonts w:ascii="Times New Roman" w:eastAsia="Times New Roman" w:hAnsi="Times New Roman" w:cs="Times New Roman"/>
        </w:rPr>
        <w:t>), the samples generally exhibit low porosity and low permeability, with some Lafia samples showing relatively higher porosity but very low permeability. These properties are consistent with fine-grained, kaolinitic clay systems.</w:t>
      </w:r>
    </w:p>
    <w:p w14:paraId="260C2F6F" w14:textId="77777777" w:rsidR="007F625C" w:rsidRDefault="007F625C" w:rsidP="00D6590C">
      <w:pPr>
        <w:spacing w:after="0"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724E900" wp14:editId="1B1FFA65">
            <wp:extent cx="3950208" cy="3630168"/>
            <wp:effectExtent l="0" t="0" r="0" b="8890"/>
            <wp:docPr id="1684341421" name="image8.png" descr="A diagram of clay samples with Great Pyramid of Giza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diagram of clay samples with Great Pyramid of Giza in the background&#10;&#10;Description automatically generated"/>
                    <pic:cNvPicPr preferRelativeResize="0"/>
                  </pic:nvPicPr>
                  <pic:blipFill>
                    <a:blip r:embed="rId23"/>
                    <a:srcRect/>
                    <a:stretch>
                      <a:fillRect/>
                    </a:stretch>
                  </pic:blipFill>
                  <pic:spPr>
                    <a:xfrm>
                      <a:off x="0" y="0"/>
                      <a:ext cx="3950208" cy="3630168"/>
                    </a:xfrm>
                    <a:prstGeom prst="rect">
                      <a:avLst/>
                    </a:prstGeom>
                    <a:ln/>
                  </pic:spPr>
                </pic:pic>
              </a:graphicData>
            </a:graphic>
          </wp:inline>
        </w:drawing>
      </w:r>
    </w:p>
    <w:p w14:paraId="3C8476BD" w14:textId="77777777" w:rsidR="007F625C" w:rsidRDefault="007F625C" w:rsidP="007F625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8. Ternary diagram showing particle size of clay samples in the study area (after Shepard, 1954)</w:t>
      </w:r>
    </w:p>
    <w:p w14:paraId="40CBFA17" w14:textId="77777777" w:rsidR="007F625C" w:rsidRDefault="007F625C" w:rsidP="00D6590C">
      <w:pPr>
        <w:spacing w:after="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62B3C86" wp14:editId="34D5BE76">
            <wp:extent cx="3950208" cy="3547872"/>
            <wp:effectExtent l="0" t="0" r="0" b="0"/>
            <wp:docPr id="1684341425" name="image3.png" descr="A diagram of a variety of samples with Great Pyramid of Giza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diagram of a variety of samples with Great Pyramid of Giza in the background&#10;&#10;Description automatically generated"/>
                    <pic:cNvPicPr preferRelativeResize="0"/>
                  </pic:nvPicPr>
                  <pic:blipFill>
                    <a:blip r:embed="rId24"/>
                    <a:srcRect/>
                    <a:stretch>
                      <a:fillRect/>
                    </a:stretch>
                  </pic:blipFill>
                  <pic:spPr>
                    <a:xfrm>
                      <a:off x="0" y="0"/>
                      <a:ext cx="3950208" cy="3547872"/>
                    </a:xfrm>
                    <a:prstGeom prst="rect">
                      <a:avLst/>
                    </a:prstGeom>
                    <a:ln/>
                  </pic:spPr>
                </pic:pic>
              </a:graphicData>
            </a:graphic>
          </wp:inline>
        </w:drawing>
      </w:r>
    </w:p>
    <w:p w14:paraId="6C461E7E" w14:textId="77777777" w:rsidR="007F625C" w:rsidRDefault="007F625C" w:rsidP="007F625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9. Triangular diagram of particle sizes showing porosity and permeability of clay samples (after McManus, 1988)</w:t>
      </w:r>
    </w:p>
    <w:p w14:paraId="590CB551" w14:textId="77777777" w:rsid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Generally, the clay content of clay samples influenced the plasticity (Oumar et al., 2022); hence, clay samples in Lafia have high clay content. The plasticity index determines the </w:t>
      </w:r>
      <w:r>
        <w:rPr>
          <w:rFonts w:ascii="Times New Roman" w:eastAsia="Times New Roman" w:hAnsi="Times New Roman" w:cs="Times New Roman"/>
        </w:rPr>
        <w:lastRenderedPageBreak/>
        <w:t>plasticity and compressibility of clays. A higher plasticity index indicates increased flexibility, compressibility, and larger volume change characteristics of the clays (Ihekweme et al., 2021). The Casagrande plasticity chart was used to show the degree of plasticity and classification of the clay samples (Figure 10). All the clay samples were plotted above the A-line, signifying inorganic clays. However, the clay samples in Doma can be described as medium-plastic inorganic clays, while the clay samples in Lafia are high-plastic clays.</w:t>
      </w:r>
    </w:p>
    <w:p w14:paraId="7E138324" w14:textId="77777777" w:rsidR="00661697" w:rsidRDefault="007F625C" w:rsidP="007F625C">
      <w:pPr>
        <w:spacing w:after="0" w:line="360" w:lineRule="auto"/>
        <w:jc w:val="center"/>
        <w:rPr>
          <w:rFonts w:ascii="Times New Roman" w:eastAsia="Times New Roman" w:hAnsi="Times New Roman" w:cs="Times New Roman"/>
        </w:rPr>
      </w:pPr>
      <w:r>
        <w:rPr>
          <w:noProof/>
        </w:rPr>
        <w:drawing>
          <wp:inline distT="0" distB="0" distL="0" distR="0" wp14:anchorId="118F47A5" wp14:editId="76419DB0">
            <wp:extent cx="4160520" cy="3337560"/>
            <wp:effectExtent l="0" t="0" r="0" b="0"/>
            <wp:docPr id="1684341423" name="image13.png" descr="A diagram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A diagram of a graph&#10;&#10;Description automatically generated with medium confidence"/>
                    <pic:cNvPicPr preferRelativeResize="0"/>
                  </pic:nvPicPr>
                  <pic:blipFill>
                    <a:blip r:embed="rId25"/>
                    <a:srcRect/>
                    <a:stretch>
                      <a:fillRect/>
                    </a:stretch>
                  </pic:blipFill>
                  <pic:spPr>
                    <a:xfrm>
                      <a:off x="0" y="0"/>
                      <a:ext cx="4160520" cy="3337560"/>
                    </a:xfrm>
                    <a:prstGeom prst="rect">
                      <a:avLst/>
                    </a:prstGeom>
                    <a:ln/>
                  </pic:spPr>
                </pic:pic>
              </a:graphicData>
            </a:graphic>
          </wp:inline>
        </w:drawing>
      </w:r>
    </w:p>
    <w:p w14:paraId="5794D3D8" w14:textId="432503E7" w:rsidR="007F625C" w:rsidRDefault="007F625C" w:rsidP="007F625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10. The Casagrande soil classification plot shows Doma and Lafia clay samples plotted in intermediate and high plasticity, respectively (Casagrande, 1948).</w:t>
      </w:r>
    </w:p>
    <w:p w14:paraId="038FE322" w14:textId="77C714DD" w:rsidR="007F625C" w:rsidRDefault="007F625C" w:rsidP="007F625C">
      <w:pPr>
        <w:pStyle w:val="Heading2"/>
        <w:spacing w:after="0"/>
        <w:rPr>
          <w:rFonts w:ascii="Times New Roman" w:eastAsia="Times New Roman" w:hAnsi="Times New Roman" w:cs="Times New Roman"/>
          <w:b w:val="0"/>
          <w:bCs w:val="0"/>
          <w:color w:val="000000"/>
        </w:rPr>
      </w:pPr>
      <w:bookmarkStart w:id="5" w:name="_heading=h.se8hknz3knb2" w:colFirst="0" w:colLast="0"/>
      <w:bookmarkEnd w:id="5"/>
      <w:r>
        <w:rPr>
          <w:rFonts w:ascii="Times New Roman" w:eastAsia="Times New Roman" w:hAnsi="Times New Roman" w:cs="Times New Roman"/>
          <w:color w:val="000000"/>
        </w:rPr>
        <w:t xml:space="preserve"> Industrial Potential</w:t>
      </w:r>
    </w:p>
    <w:p w14:paraId="420944C7" w14:textId="77777777" w:rsid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Clays are important raw materials in several industrial sectors, particularly ceramics, cement, bricks, and coatings. Their industrial applicability depends on mineralogical composition, oxide chemistry, particle size distribution, plasticity, and performance during thermal processing. The present assessment is based on mineralogical, geochemical, and geotechnical screening and therefore represents a preliminary evaluation rather than a full performance-based validation.</w:t>
      </w:r>
    </w:p>
    <w:p w14:paraId="78A04D52" w14:textId="77777777" w:rsidR="007F625C" w:rsidRDefault="007F625C" w:rsidP="007F625C">
      <w:pPr>
        <w:spacing w:after="0" w:line="360" w:lineRule="auto"/>
        <w:rPr>
          <w:rFonts w:ascii="Times New Roman" w:eastAsia="Times New Roman" w:hAnsi="Times New Roman" w:cs="Times New Roman"/>
        </w:rPr>
      </w:pPr>
      <w:r w:rsidRPr="00373A68">
        <w:rPr>
          <w:rFonts w:ascii="Times New Roman" w:eastAsia="Times New Roman" w:hAnsi="Times New Roman" w:cs="Times New Roman"/>
        </w:rPr>
        <w:t>The compositional thresholds used for this assessment are derived from published case-specific studies and serve as comparative indicators rather than universal or globally applicable standards. Industrial suitability is presented as application-dependent, and these benchmarks provide a preliminary screening within the context of existing literature .</w:t>
      </w:r>
      <w:r>
        <w:rPr>
          <w:rFonts w:ascii="Times New Roman" w:eastAsia="Times New Roman" w:hAnsi="Times New Roman" w:cs="Times New Roman"/>
        </w:rPr>
        <w:t>In ceramic applications, desirable compositional ranges often include moderate to high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content, controlled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proportion, and low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to minimize coloration effects during firing </w:t>
      </w:r>
      <w:r>
        <w:rPr>
          <w:rFonts w:ascii="Times New Roman" w:eastAsia="Times New Roman" w:hAnsi="Times New Roman" w:cs="Times New Roman"/>
        </w:rPr>
        <w:lastRenderedPageBreak/>
        <w:t>(Abyzov, 2019; Kočí et al., 2022; Tsozué et al., 2022). The Lafia and Doma clay samples mainly contain kaolinite and quartz, with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and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levels that are similar to those found in materials used for making tiles, bricks, and stoneware. However, the relatively elevated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content, particularly in Doma samples, may influence fired color and require further thermal and firing evaluation to confirm product suitability.</w:t>
      </w:r>
    </w:p>
    <w:p w14:paraId="370D4F17" w14:textId="0D49B086" w:rsidR="007F625C" w:rsidRDefault="007F625C" w:rsidP="00D6590C">
      <w:pPr>
        <w:spacing w:line="360" w:lineRule="auto"/>
        <w:rPr>
          <w:rFonts w:ascii="Times New Roman" w:eastAsia="Times New Roman" w:hAnsi="Times New Roman" w:cs="Times New Roman"/>
        </w:rPr>
      </w:pPr>
      <w:r>
        <w:rPr>
          <w:rFonts w:ascii="Times New Roman" w:eastAsia="Times New Roman" w:hAnsi="Times New Roman" w:cs="Times New Roman"/>
        </w:rPr>
        <w:t>Ternary diagrams based on chemical composition (Figure 11) and particle size distribution (Figure 12) indicate that the samples plot within fields commonly associated with raw materials for ceramics and, with the addition of 10–20 wt% sand and silt particles, will be favorable as raw materials for bricks. The Bain &amp; Highley (1979) diagram, based on plasticity index and plastic limit (Figure 13), also shows the favorability of the clays as raw materials for pottery. These graphical comparisons suggest potential applicability, although additional tests, such as firing shrinkage, mechanical strength, and thermal behavior analysis, would be necessary to confirm industrial performance.</w:t>
      </w:r>
    </w:p>
    <w:p w14:paraId="149FE93E" w14:textId="77777777" w:rsidR="007F625C" w:rsidRDefault="007F625C" w:rsidP="007F625C">
      <w:pPr>
        <w:spacing w:after="0"/>
        <w:jc w:val="center"/>
        <w:rPr>
          <w:rFonts w:ascii="Times New Roman" w:eastAsia="Times New Roman" w:hAnsi="Times New Roman" w:cs="Times New Roman"/>
        </w:rPr>
      </w:pPr>
      <w:r>
        <w:rPr>
          <w:noProof/>
        </w:rPr>
        <w:drawing>
          <wp:inline distT="0" distB="0" distL="0" distR="0" wp14:anchorId="1211D86C" wp14:editId="306CFAD0">
            <wp:extent cx="3840480" cy="3227832"/>
            <wp:effectExtent l="0" t="0" r="7620" b="0"/>
            <wp:docPr id="1684341424" name="image12.png" descr="A diagram of a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diagram of a triangle&#10;&#10;Description automatically generated"/>
                    <pic:cNvPicPr preferRelativeResize="0"/>
                  </pic:nvPicPr>
                  <pic:blipFill>
                    <a:blip r:embed="rId26"/>
                    <a:srcRect/>
                    <a:stretch>
                      <a:fillRect/>
                    </a:stretch>
                  </pic:blipFill>
                  <pic:spPr>
                    <a:xfrm>
                      <a:off x="0" y="0"/>
                      <a:ext cx="3840480" cy="3227832"/>
                    </a:xfrm>
                    <a:prstGeom prst="rect">
                      <a:avLst/>
                    </a:prstGeom>
                    <a:ln/>
                  </pic:spPr>
                </pic:pic>
              </a:graphicData>
            </a:graphic>
          </wp:inline>
        </w:drawing>
      </w:r>
    </w:p>
    <w:p w14:paraId="55C3B8BA" w14:textId="77777777" w:rsidR="007F625C" w:rsidRDefault="007F625C" w:rsidP="007F625C">
      <w:pPr>
        <w:spacing w:after="0"/>
        <w:jc w:val="center"/>
        <w:rPr>
          <w:rFonts w:ascii="Times New Roman" w:eastAsia="Times New Roman" w:hAnsi="Times New Roman" w:cs="Times New Roman"/>
        </w:rPr>
      </w:pPr>
      <w:r>
        <w:rPr>
          <w:rFonts w:ascii="Times New Roman" w:eastAsia="Times New Roman" w:hAnsi="Times New Roman" w:cs="Times New Roman"/>
        </w:rPr>
        <w:t xml:space="preserve">Figure 11: Suitability of clay materials in different ceramic tiles (after Fiori et al., 1989) </w:t>
      </w:r>
    </w:p>
    <w:p w14:paraId="54710142" w14:textId="77777777" w:rsidR="00D6590C" w:rsidRDefault="007F625C" w:rsidP="00D6590C">
      <w:pPr>
        <w:spacing w:after="0"/>
        <w:jc w:val="center"/>
        <w:rPr>
          <w:rFonts w:ascii="Times New Roman" w:eastAsia="Times New Roman" w:hAnsi="Times New Roman" w:cs="Times New Roman"/>
        </w:rPr>
      </w:pPr>
      <w:r>
        <w:rPr>
          <w:noProof/>
        </w:rPr>
        <w:lastRenderedPageBreak/>
        <w:drawing>
          <wp:inline distT="0" distB="0" distL="0" distR="0" wp14:anchorId="445636A6" wp14:editId="5F05ADE4">
            <wp:extent cx="4160520" cy="3858768"/>
            <wp:effectExtent l="0" t="0" r="0" b="8890"/>
            <wp:docPr id="1684341426" name="image10.png" descr="A diagram of a pyrami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diagram of a pyramid&#10;&#10;Description automatically generated"/>
                    <pic:cNvPicPr preferRelativeResize="0"/>
                  </pic:nvPicPr>
                  <pic:blipFill>
                    <a:blip r:embed="rId27"/>
                    <a:srcRect/>
                    <a:stretch>
                      <a:fillRect/>
                    </a:stretch>
                  </pic:blipFill>
                  <pic:spPr>
                    <a:xfrm>
                      <a:off x="0" y="0"/>
                      <a:ext cx="4160520" cy="3858768"/>
                    </a:xfrm>
                    <a:prstGeom prst="rect">
                      <a:avLst/>
                    </a:prstGeom>
                    <a:ln/>
                  </pic:spPr>
                </pic:pic>
              </a:graphicData>
            </a:graphic>
          </wp:inline>
        </w:drawing>
      </w:r>
    </w:p>
    <w:p w14:paraId="5092A32B" w14:textId="77ECD9EB" w:rsidR="007F625C" w:rsidRDefault="007F625C" w:rsidP="00D6590C">
      <w:pPr>
        <w:spacing w:after="0"/>
        <w:jc w:val="center"/>
        <w:rPr>
          <w:rFonts w:ascii="Times New Roman" w:eastAsia="Times New Roman" w:hAnsi="Times New Roman" w:cs="Times New Roman"/>
        </w:rPr>
      </w:pPr>
      <w:r>
        <w:rPr>
          <w:rFonts w:ascii="Times New Roman" w:eastAsia="Times New Roman" w:hAnsi="Times New Roman" w:cs="Times New Roman"/>
        </w:rPr>
        <w:t>Figure 12. Winkler ternary diagram for suitability of clay materials for brick production (after Winkler, 1954)</w:t>
      </w:r>
    </w:p>
    <w:p w14:paraId="23858D04" w14:textId="77777777" w:rsidR="00661697" w:rsidRDefault="007F625C" w:rsidP="007F625C">
      <w:pPr>
        <w:spacing w:after="0" w:line="360" w:lineRule="auto"/>
        <w:jc w:val="center"/>
        <w:rPr>
          <w:rFonts w:ascii="Times New Roman" w:eastAsia="Times New Roman" w:hAnsi="Times New Roman" w:cs="Times New Roman"/>
        </w:rPr>
      </w:pPr>
      <w:r>
        <w:rPr>
          <w:noProof/>
        </w:rPr>
        <w:drawing>
          <wp:inline distT="0" distB="0" distL="0" distR="0" wp14:anchorId="29758F2A" wp14:editId="0E4A289B">
            <wp:extent cx="4160520" cy="3044952"/>
            <wp:effectExtent l="0" t="0" r="0" b="3175"/>
            <wp:docPr id="1684341427" name="image7.png" descr="A diagram of a variety of clay samp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diagram of a variety of clay samples&#10;&#10;Description automatically generated"/>
                    <pic:cNvPicPr preferRelativeResize="0"/>
                  </pic:nvPicPr>
                  <pic:blipFill>
                    <a:blip r:embed="rId28"/>
                    <a:srcRect/>
                    <a:stretch>
                      <a:fillRect/>
                    </a:stretch>
                  </pic:blipFill>
                  <pic:spPr>
                    <a:xfrm>
                      <a:off x="0" y="0"/>
                      <a:ext cx="4160520" cy="3044952"/>
                    </a:xfrm>
                    <a:prstGeom prst="rect">
                      <a:avLst/>
                    </a:prstGeom>
                    <a:ln/>
                  </pic:spPr>
                </pic:pic>
              </a:graphicData>
            </a:graphic>
          </wp:inline>
        </w:drawing>
      </w:r>
    </w:p>
    <w:p w14:paraId="248A7C2B" w14:textId="411A2837" w:rsidR="007F625C" w:rsidRDefault="007F625C" w:rsidP="007F625C">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Figure 13. A Bain diagram for the potential molding of clay materials (after Bain &amp; Highley, 1979).</w:t>
      </w:r>
    </w:p>
    <w:p w14:paraId="6FCA4566" w14:textId="77777777" w:rsid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In the cement industry, clay materials serve as sources of silica, alumina, and iron in kiln feed and may also function as calcined clay supplementary cementitious materials when properly processed (Mousavi et al., 2021; Cheah et al., 2025). The Lafia samples, characterized by </w:t>
      </w:r>
      <w:r>
        <w:rPr>
          <w:rFonts w:ascii="Times New Roman" w:eastAsia="Times New Roman" w:hAnsi="Times New Roman" w:cs="Times New Roman"/>
        </w:rPr>
        <w:lastRenderedPageBreak/>
        <w:t>higher average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kaolinite content, compare favorably with reported compositional ranges for raw feed blending or calcined clay applications. The Doma samples show slightly lower kaolinite content but still fall within ranges reported in similar studies. Nevertheless, performance testing, such as calcination reactivity and strength contribution, would be required before industrial implementation to ensure that the Doma samples meet the necessary quality and performance standards for practical applications.</w:t>
      </w:r>
    </w:p>
    <w:p w14:paraId="3DD55AB5" w14:textId="77777777" w:rsid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For painting and coating applications, specifications commonly emphasize low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to avoid discoloration and adequate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content for opacity enhancement (Buyondo et al., 2022; Igwe et al., 2016). The Fe</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content in several samples exceeds some reported reference ranges, while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values are comparatively moderate. These characteristics may limit direct use in high-grade paint formulations without processing. Beneficiation techniques could potentially reduce iron-rich fractions; however, no beneficiation experiments were conducted in this study. Therefore, suitability for coating applications should be regarded as conditional pending further material upgrading and testing.</w:t>
      </w:r>
    </w:p>
    <w:p w14:paraId="58C334A3" w14:textId="306A455D" w:rsidR="00624DA5" w:rsidRP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Overall, the mineralogical and chemical properties indicate that the Lafia and Doma clays have qualities similar to those of kaolinitic industrial clays. Based on a screening-level comparison with published industrial reference ranges, the deposits demonstrate potential for ceramic and cement-related applications. Further evaluation involving thermal analysis, firing tests, mechanical strength assessment, and beneficiation trials is recommended to validate performance under industrial processing conditions.</w:t>
      </w:r>
    </w:p>
    <w:p w14:paraId="41CA0EB3" w14:textId="335D53C2" w:rsidR="00452A9C" w:rsidRDefault="00452A9C" w:rsidP="00452A9C">
      <w:pPr>
        <w:pStyle w:val="Heading2"/>
      </w:pPr>
      <w:r>
        <w:t xml:space="preserve">Conclusions </w:t>
      </w:r>
    </w:p>
    <w:p w14:paraId="64AEEFB8" w14:textId="77777777" w:rsid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The clay deposits occur as sedimentary layers within the stratigraphic succession of the Lafia and Awgu formations in the study area. The dominance of kaolinite and quartz from XRD mineralogical studies and the dominance of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3 </w:t>
      </w:r>
      <w:r>
        <w:rPr>
          <w:rFonts w:ascii="Times New Roman" w:eastAsia="Times New Roman" w:hAnsi="Times New Roman" w:cs="Times New Roman"/>
        </w:rPr>
        <w:t>and SiO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from XRF geochemical analysis of the clay samples from Lafia and Doma affirm that the clays are kaolin. The particle size distribution shows that the clays are silty, low-porosity, and low-permeability clays with moderate plasticity in Doma and high plasticity in Lafia samples. </w:t>
      </w:r>
    </w:p>
    <w:p w14:paraId="3C3E45CF" w14:textId="34AB1385" w:rsidR="008C1D6E" w:rsidRPr="007F625C" w:rsidRDefault="007F625C" w:rsidP="007F625C">
      <w:pPr>
        <w:spacing w:after="0" w:line="360" w:lineRule="auto"/>
        <w:rPr>
          <w:rFonts w:ascii="Times New Roman" w:eastAsia="Times New Roman" w:hAnsi="Times New Roman" w:cs="Times New Roman"/>
        </w:rPr>
      </w:pPr>
      <w:r>
        <w:rPr>
          <w:rFonts w:ascii="Times New Roman" w:eastAsia="Times New Roman" w:hAnsi="Times New Roman" w:cs="Times New Roman"/>
        </w:rPr>
        <w:t>This mineral and chemical composition of the clays indicates excellent potential for industrial applications in tiles, bricks, stoneware, pottery, and cement. However, the elevated iron content in the raw clay samples presents a significant limitation for direct use in the paint industry, where color and behavior are critical, as it can lead to undesirable coloration and affect the drying properties of the paint.</w:t>
      </w:r>
    </w:p>
    <w:p w14:paraId="52590D6A" w14:textId="77777777" w:rsidR="00661697" w:rsidRDefault="00661697" w:rsidP="00661697"/>
    <w:p w14:paraId="30B5E477" w14:textId="342D8BCD" w:rsidR="00947093" w:rsidRPr="00C53357" w:rsidRDefault="004D11FD" w:rsidP="000D3D3D">
      <w:pPr>
        <w:pStyle w:val="Heading2"/>
        <w:numPr>
          <w:ilvl w:val="0"/>
          <w:numId w:val="0"/>
        </w:numPr>
      </w:pPr>
      <w:r w:rsidRPr="004D11FD">
        <w:lastRenderedPageBreak/>
        <w:t xml:space="preserve">Conflict of </w:t>
      </w:r>
      <w:r w:rsidR="008F4B5B">
        <w:t>I</w:t>
      </w:r>
      <w:r w:rsidRPr="004D11FD">
        <w:t>nterest</w:t>
      </w:r>
    </w:p>
    <w:p w14:paraId="1CDB5EE2" w14:textId="1EDEA82B" w:rsidR="005727A2" w:rsidRDefault="007F625C" w:rsidP="005727A2">
      <w:r>
        <w:rPr>
          <w:rFonts w:ascii="Times New Roman" w:eastAsia="Times New Roman" w:hAnsi="Times New Roman" w:cs="Times New Roman"/>
        </w:rPr>
        <w:t>The authors assert the absence of any conflict of interest.</w:t>
      </w:r>
    </w:p>
    <w:p w14:paraId="278F787F" w14:textId="25E78D51" w:rsidR="00947093" w:rsidRDefault="00F1468E" w:rsidP="000D3D3D">
      <w:pPr>
        <w:pStyle w:val="Heading2"/>
        <w:numPr>
          <w:ilvl w:val="0"/>
          <w:numId w:val="0"/>
        </w:numPr>
      </w:pPr>
      <w:r w:rsidRPr="00F1468E">
        <w:t xml:space="preserve">Author </w:t>
      </w:r>
      <w:r w:rsidR="008F4B5B">
        <w:t>C</w:t>
      </w:r>
      <w:r w:rsidRPr="00F1468E">
        <w:t>ontributions</w:t>
      </w:r>
    </w:p>
    <w:p w14:paraId="3F252EFF" w14:textId="7ACBD173" w:rsidR="005727A2" w:rsidRPr="005727A2" w:rsidRDefault="007F625C" w:rsidP="003E5EF9">
      <w:pPr>
        <w:spacing w:line="360" w:lineRule="auto"/>
      </w:pPr>
      <w:r>
        <w:rPr>
          <w:rFonts w:ascii="Times New Roman" w:eastAsia="Times New Roman" w:hAnsi="Times New Roman" w:cs="Times New Roman"/>
          <w:b/>
          <w:bCs/>
        </w:rPr>
        <w:t xml:space="preserve">Ahmad Ibrahim Aliyu: </w:t>
      </w:r>
      <w:r>
        <w:rPr>
          <w:rFonts w:ascii="Times New Roman" w:eastAsia="Times New Roman" w:hAnsi="Times New Roman" w:cs="Times New Roman"/>
        </w:rPr>
        <w:t xml:space="preserve">Fieldwork and sampling, supervision, and writing the original draft. </w:t>
      </w:r>
      <w:r>
        <w:rPr>
          <w:rFonts w:ascii="Times New Roman" w:eastAsia="Times New Roman" w:hAnsi="Times New Roman" w:cs="Times New Roman"/>
          <w:b/>
          <w:bCs/>
        </w:rPr>
        <w:t>Lucy Ooja Agho</w:t>
      </w:r>
      <w:r>
        <w:rPr>
          <w:rFonts w:ascii="Times New Roman" w:eastAsia="Times New Roman" w:hAnsi="Times New Roman" w:cs="Times New Roman"/>
        </w:rPr>
        <w:t xml:space="preserve">: Fieldwork and sampling, writing—review and editing, visualization. </w:t>
      </w:r>
      <w:r>
        <w:rPr>
          <w:rFonts w:ascii="Times New Roman" w:eastAsia="Times New Roman" w:hAnsi="Times New Roman" w:cs="Times New Roman"/>
          <w:b/>
          <w:bCs/>
        </w:rPr>
        <w:t>Muhammad Sanusi Idris</w:t>
      </w:r>
      <w:r>
        <w:rPr>
          <w:rFonts w:ascii="Times New Roman" w:eastAsia="Times New Roman" w:hAnsi="Times New Roman" w:cs="Times New Roman"/>
        </w:rPr>
        <w:t xml:space="preserve">: Fieldwork and sampling, writing, reviewing, and editing. </w:t>
      </w:r>
      <w:r>
        <w:rPr>
          <w:rFonts w:ascii="Times New Roman" w:eastAsia="Times New Roman" w:hAnsi="Times New Roman" w:cs="Times New Roman"/>
          <w:b/>
          <w:bCs/>
        </w:rPr>
        <w:t>Usman Shehu Saeed</w:t>
      </w:r>
      <w:r>
        <w:rPr>
          <w:rFonts w:ascii="Times New Roman" w:eastAsia="Times New Roman" w:hAnsi="Times New Roman" w:cs="Times New Roman"/>
        </w:rPr>
        <w:t xml:space="preserve">: Fieldwork and sampling, laboratory work. </w:t>
      </w:r>
      <w:r>
        <w:rPr>
          <w:rFonts w:ascii="Times New Roman" w:eastAsia="Times New Roman" w:hAnsi="Times New Roman" w:cs="Times New Roman"/>
          <w:b/>
          <w:bCs/>
        </w:rPr>
        <w:t>Fatima Idris Adamu</w:t>
      </w:r>
      <w:r>
        <w:rPr>
          <w:rFonts w:ascii="Times New Roman" w:eastAsia="Times New Roman" w:hAnsi="Times New Roman" w:cs="Times New Roman"/>
        </w:rPr>
        <w:t xml:space="preserve">: Fieldwork and sampling, laboratory work. </w:t>
      </w:r>
      <w:r>
        <w:rPr>
          <w:rFonts w:ascii="Times New Roman" w:eastAsia="Times New Roman" w:hAnsi="Times New Roman" w:cs="Times New Roman"/>
          <w:b/>
          <w:bCs/>
        </w:rPr>
        <w:t>Beatrice Imona Amos</w:t>
      </w:r>
      <w:r>
        <w:rPr>
          <w:rFonts w:ascii="Times New Roman" w:eastAsia="Times New Roman" w:hAnsi="Times New Roman" w:cs="Times New Roman"/>
        </w:rPr>
        <w:t xml:space="preserve">: Fieldwork and sampling, laboratory work. </w:t>
      </w:r>
      <w:r>
        <w:rPr>
          <w:rFonts w:ascii="Times New Roman" w:eastAsia="Times New Roman" w:hAnsi="Times New Roman" w:cs="Times New Roman"/>
          <w:b/>
          <w:bCs/>
        </w:rPr>
        <w:t>Sheriff Abdulrafiu</w:t>
      </w:r>
      <w:r>
        <w:rPr>
          <w:rFonts w:ascii="Times New Roman" w:eastAsia="Times New Roman" w:hAnsi="Times New Roman" w:cs="Times New Roman"/>
        </w:rPr>
        <w:t>: Visualize, digitize, and update geological maps</w:t>
      </w:r>
      <w:r w:rsidR="005727A2">
        <w:t>.</w:t>
      </w:r>
    </w:p>
    <w:p w14:paraId="67173924" w14:textId="77777777" w:rsidR="00947093" w:rsidRPr="00C53357" w:rsidRDefault="00790F2D" w:rsidP="000D3D3D">
      <w:pPr>
        <w:pStyle w:val="Heading2"/>
        <w:numPr>
          <w:ilvl w:val="0"/>
          <w:numId w:val="0"/>
        </w:numPr>
      </w:pPr>
      <w:r w:rsidRPr="00790F2D">
        <w:t>Funding</w:t>
      </w:r>
    </w:p>
    <w:p w14:paraId="00F801B5" w14:textId="09D80573" w:rsidR="00947093" w:rsidRPr="005727A2" w:rsidRDefault="007F625C" w:rsidP="00661697">
      <w:r>
        <w:rPr>
          <w:rFonts w:ascii="Times New Roman" w:eastAsia="Times New Roman" w:hAnsi="Times New Roman" w:cs="Times New Roman"/>
        </w:rPr>
        <w:t>This research does not receive any funding. It is a personal contribution by the authors</w:t>
      </w:r>
      <w:r w:rsidR="005727A2">
        <w:t>.</w:t>
      </w:r>
    </w:p>
    <w:p w14:paraId="4566383F" w14:textId="77777777" w:rsidR="00947093" w:rsidRPr="00C53357" w:rsidRDefault="00CC0888" w:rsidP="000D3D3D">
      <w:pPr>
        <w:pStyle w:val="Heading2"/>
        <w:numPr>
          <w:ilvl w:val="0"/>
          <w:numId w:val="0"/>
        </w:numPr>
      </w:pPr>
      <w:r w:rsidRPr="00CC0888">
        <w:t>Acknowledgments</w:t>
      </w:r>
    </w:p>
    <w:p w14:paraId="08EAC7D9" w14:textId="2062E070" w:rsidR="005727A2" w:rsidRPr="005727A2" w:rsidRDefault="007F625C" w:rsidP="003E5EF9">
      <w:pPr>
        <w:spacing w:line="360" w:lineRule="auto"/>
      </w:pPr>
      <w:r>
        <w:rPr>
          <w:rFonts w:ascii="Times New Roman" w:eastAsia="Times New Roman" w:hAnsi="Times New Roman" w:cs="Times New Roman"/>
        </w:rPr>
        <w:t xml:space="preserve">The authors express their gratitude and recognition to all researchers whose works this study has cited. Their original findings serve important roles in data analysis and interpretation, particularly in enhancing the reliability of the results presented in this study. Appreciation also goes to TRIACTA Construction Company, </w:t>
      </w:r>
      <w:r w:rsidR="003E5EF9">
        <w:rPr>
          <w:rFonts w:ascii="Times New Roman" w:eastAsia="Times New Roman" w:hAnsi="Times New Roman" w:cs="Times New Roman"/>
        </w:rPr>
        <w:t>Lafia,</w:t>
      </w:r>
      <w:r>
        <w:rPr>
          <w:rFonts w:ascii="Times New Roman" w:eastAsia="Times New Roman" w:hAnsi="Times New Roman" w:cs="Times New Roman"/>
        </w:rPr>
        <w:t xml:space="preserve"> for </w:t>
      </w:r>
      <w:r w:rsidR="00AD5E9D">
        <w:rPr>
          <w:rFonts w:ascii="Times New Roman" w:eastAsia="Times New Roman" w:hAnsi="Times New Roman" w:cs="Times New Roman"/>
        </w:rPr>
        <w:t>permission</w:t>
      </w:r>
      <w:r>
        <w:rPr>
          <w:rFonts w:ascii="Times New Roman" w:eastAsia="Times New Roman" w:hAnsi="Times New Roman" w:cs="Times New Roman"/>
        </w:rPr>
        <w:t xml:space="preserve"> to carry out the Atterberg limit test in their laboratory</w:t>
      </w:r>
      <w:r w:rsidR="005727A2">
        <w:t>.</w:t>
      </w:r>
    </w:p>
    <w:p w14:paraId="45A0E391" w14:textId="32E30581" w:rsidR="001E5751" w:rsidRPr="00C53357" w:rsidRDefault="001E5751" w:rsidP="000D3D3D">
      <w:pPr>
        <w:pStyle w:val="Heading2"/>
        <w:numPr>
          <w:ilvl w:val="0"/>
          <w:numId w:val="0"/>
        </w:numPr>
      </w:pPr>
      <w:r w:rsidRPr="001E5751">
        <w:t>Ethical Statements</w:t>
      </w:r>
    </w:p>
    <w:p w14:paraId="2413F405" w14:textId="50F28930" w:rsidR="001E5751" w:rsidRPr="005727A2" w:rsidRDefault="007F625C" w:rsidP="007F625C">
      <w:r>
        <w:rPr>
          <w:rFonts w:ascii="Times New Roman" w:eastAsia="Times New Roman" w:hAnsi="Times New Roman" w:cs="Times New Roman"/>
        </w:rPr>
        <w:t>This research did not include human or animal subjects</w:t>
      </w:r>
      <w:r w:rsidR="005727A2">
        <w:t>.</w:t>
      </w:r>
    </w:p>
    <w:p w14:paraId="7F1F47F6" w14:textId="6D67C9FC" w:rsidR="00947093" w:rsidRPr="00C53357" w:rsidRDefault="009B431E" w:rsidP="000D3D3D">
      <w:pPr>
        <w:pStyle w:val="Heading2"/>
        <w:numPr>
          <w:ilvl w:val="0"/>
          <w:numId w:val="0"/>
        </w:numPr>
      </w:pPr>
      <w:r>
        <w:t xml:space="preserve">Data and </w:t>
      </w:r>
      <w:r w:rsidRPr="009B431E">
        <w:t xml:space="preserve">Code </w:t>
      </w:r>
      <w:r w:rsidR="005821A7">
        <w:t>A</w:t>
      </w:r>
      <w:r w:rsidRPr="009B431E">
        <w:t>vailability</w:t>
      </w:r>
    </w:p>
    <w:p w14:paraId="175B678F" w14:textId="67825F36" w:rsidR="00331233" w:rsidRDefault="007F625C" w:rsidP="00661697">
      <w:r>
        <w:rPr>
          <w:rFonts w:ascii="Times New Roman" w:eastAsia="Times New Roman" w:hAnsi="Times New Roman" w:cs="Times New Roman"/>
        </w:rPr>
        <w:t>The data used in this work can be obtained through a formal request to the corresponding author</w:t>
      </w:r>
      <w:r w:rsidR="005727A2">
        <w:t>.</w:t>
      </w:r>
    </w:p>
    <w:p w14:paraId="66074FF4" w14:textId="77777777" w:rsidR="00947093" w:rsidRPr="00C53357" w:rsidRDefault="00947093" w:rsidP="000D3D3D">
      <w:pPr>
        <w:pStyle w:val="Heading2"/>
        <w:numPr>
          <w:ilvl w:val="0"/>
          <w:numId w:val="0"/>
        </w:numPr>
      </w:pPr>
      <w:r>
        <w:t>References</w:t>
      </w:r>
    </w:p>
    <w:p w14:paraId="75FF2727"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Abubakar, M. B. (2014). Petroleum Potentials of the Nigerian Benue Trough and Anambra Basin: A Regional Synthesis. </w:t>
      </w:r>
      <w:r>
        <w:rPr>
          <w:rFonts w:ascii="Times New Roman" w:eastAsia="Times New Roman" w:hAnsi="Times New Roman" w:cs="Times New Roman"/>
          <w:i/>
          <w:iCs/>
        </w:rPr>
        <w:t>Natural Resources</w:t>
      </w:r>
      <w:r>
        <w:rPr>
          <w:rFonts w:ascii="Times New Roman" w:eastAsia="Times New Roman" w:hAnsi="Times New Roman" w:cs="Times New Roman"/>
        </w:rPr>
        <w:t xml:space="preserve">, </w:t>
      </w:r>
      <w:r>
        <w:rPr>
          <w:rFonts w:ascii="Times New Roman" w:eastAsia="Times New Roman" w:hAnsi="Times New Roman" w:cs="Times New Roman"/>
          <w:i/>
          <w:iCs/>
        </w:rPr>
        <w:t>05</w:t>
      </w:r>
      <w:r>
        <w:rPr>
          <w:rFonts w:ascii="Times New Roman" w:eastAsia="Times New Roman" w:hAnsi="Times New Roman" w:cs="Times New Roman"/>
        </w:rPr>
        <w:t xml:space="preserve">(01), 25–58. </w:t>
      </w:r>
    </w:p>
    <w:p w14:paraId="573766AA" w14:textId="0F8B81CC"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https://doi.org/10.4236/nr.2014.51005</w:t>
      </w:r>
    </w:p>
    <w:p w14:paraId="036A7ED3"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Abyzov, A. M. (2019). Aluminum Oxide and Alumina Ceramics (review). Part 1. Properties of Al2O3 and Commercial Production of Dispersed Al₂O₃. </w:t>
      </w:r>
      <w:r>
        <w:rPr>
          <w:rFonts w:ascii="Times New Roman" w:eastAsia="Times New Roman" w:hAnsi="Times New Roman" w:cs="Times New Roman"/>
          <w:i/>
          <w:iCs/>
        </w:rPr>
        <w:t>Refractories and Industrial Ceramics</w:t>
      </w:r>
      <w:r>
        <w:rPr>
          <w:rFonts w:ascii="Times New Roman" w:eastAsia="Times New Roman" w:hAnsi="Times New Roman" w:cs="Times New Roman"/>
        </w:rPr>
        <w:t xml:space="preserve">, </w:t>
      </w:r>
      <w:r>
        <w:rPr>
          <w:rFonts w:ascii="Times New Roman" w:eastAsia="Times New Roman" w:hAnsi="Times New Roman" w:cs="Times New Roman"/>
          <w:i/>
          <w:iCs/>
        </w:rPr>
        <w:t>60</w:t>
      </w:r>
      <w:r>
        <w:rPr>
          <w:rFonts w:ascii="Times New Roman" w:eastAsia="Times New Roman" w:hAnsi="Times New Roman" w:cs="Times New Roman"/>
        </w:rPr>
        <w:t>(1), 24–32. https://doi.org/10.1007/s11148-019-00304-2</w:t>
      </w:r>
    </w:p>
    <w:p w14:paraId="5A60AE0D"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lastRenderedPageBreak/>
        <w:t xml:space="preserve">Adeola, A. J., Odunayo, A. M., &amp; Ifeoluwa, O. D. (2020). Geochemical and mineralogical characteristics of clay deposits at Ijesha–Ijebu and its environs, southwestern Nigeria. </w:t>
      </w:r>
      <w:r>
        <w:rPr>
          <w:rFonts w:ascii="Times New Roman" w:eastAsia="Times New Roman" w:hAnsi="Times New Roman" w:cs="Times New Roman"/>
          <w:i/>
          <w:iCs/>
        </w:rPr>
        <w:t>Global Journal of Pure and Applied Sciences</w:t>
      </w:r>
      <w:r>
        <w:rPr>
          <w:rFonts w:ascii="Times New Roman" w:eastAsia="Times New Roman" w:hAnsi="Times New Roman" w:cs="Times New Roman"/>
        </w:rPr>
        <w:t xml:space="preserve">, </w:t>
      </w:r>
      <w:r>
        <w:rPr>
          <w:rFonts w:ascii="Times New Roman" w:eastAsia="Times New Roman" w:hAnsi="Times New Roman" w:cs="Times New Roman"/>
          <w:i/>
          <w:iCs/>
        </w:rPr>
        <w:t>26</w:t>
      </w:r>
      <w:r>
        <w:rPr>
          <w:rFonts w:ascii="Times New Roman" w:eastAsia="Times New Roman" w:hAnsi="Times New Roman" w:cs="Times New Roman"/>
        </w:rPr>
        <w:t xml:space="preserve">(2), 119–130. </w:t>
      </w:r>
    </w:p>
    <w:p w14:paraId="279009D2" w14:textId="588DFE46"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https://doi.org/10.4314/gjpas.v26i2.4</w:t>
      </w:r>
    </w:p>
    <w:p w14:paraId="5BD5745C"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Afolayan, D. O., Komadja, G. C., &amp; Onwualu, A. P. (2022). Physicochemical studies and mineralogical characterization of clays for ceramic raw materials. </w:t>
      </w:r>
      <w:r>
        <w:rPr>
          <w:rFonts w:ascii="Times New Roman" w:eastAsia="Times New Roman" w:hAnsi="Times New Roman" w:cs="Times New Roman"/>
          <w:i/>
          <w:iCs/>
        </w:rPr>
        <w:t>Arabian Journal of Geosciences</w:t>
      </w:r>
      <w:r>
        <w:rPr>
          <w:rFonts w:ascii="Times New Roman" w:eastAsia="Times New Roman" w:hAnsi="Times New Roman" w:cs="Times New Roman"/>
        </w:rPr>
        <w:t xml:space="preserve">, </w:t>
      </w:r>
      <w:r>
        <w:rPr>
          <w:rFonts w:ascii="Times New Roman" w:eastAsia="Times New Roman" w:hAnsi="Times New Roman" w:cs="Times New Roman"/>
          <w:i/>
          <w:iCs/>
        </w:rPr>
        <w:t>15</w:t>
      </w:r>
      <w:r>
        <w:rPr>
          <w:rFonts w:ascii="Times New Roman" w:eastAsia="Times New Roman" w:hAnsi="Times New Roman" w:cs="Times New Roman"/>
        </w:rPr>
        <w:t>(17). https://doi.org/10.1007/s12517-022-10716-z</w:t>
      </w:r>
    </w:p>
    <w:p w14:paraId="26DDDAAB"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Akande, S. O., Egenhoff, S. O., Obaje, N. G., Ojo, O. J., Adekeye, O. A., &amp; Erdtmann, B. D. (2012). Hydrocarbon potential of Cretaceous sediments in the Lower and Middle Benue Trough, Nigeria: Insights from new source rock facies evaluation. </w:t>
      </w:r>
      <w:r>
        <w:rPr>
          <w:rFonts w:ascii="Times New Roman" w:eastAsia="Times New Roman" w:hAnsi="Times New Roman" w:cs="Times New Roman"/>
          <w:i/>
          <w:iCs/>
        </w:rPr>
        <w:t>Journal of African Earth Sciences</w:t>
      </w:r>
      <w:r>
        <w:rPr>
          <w:rFonts w:ascii="Times New Roman" w:eastAsia="Times New Roman" w:hAnsi="Times New Roman" w:cs="Times New Roman"/>
        </w:rPr>
        <w:t xml:space="preserve">, </w:t>
      </w:r>
      <w:r>
        <w:rPr>
          <w:rFonts w:ascii="Times New Roman" w:eastAsia="Times New Roman" w:hAnsi="Times New Roman" w:cs="Times New Roman"/>
          <w:i/>
          <w:iCs/>
        </w:rPr>
        <w:t>64</w:t>
      </w:r>
      <w:r>
        <w:rPr>
          <w:rFonts w:ascii="Times New Roman" w:eastAsia="Times New Roman" w:hAnsi="Times New Roman" w:cs="Times New Roman"/>
        </w:rPr>
        <w:t>, 34–47. https://doi.org/10.1016/j.jafrearsci.2011.11.008</w:t>
      </w:r>
    </w:p>
    <w:p w14:paraId="281AA585" w14:textId="5393635E" w:rsidR="00D6590C" w:rsidRDefault="00D6590C" w:rsidP="00661697">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Akinyemi, S. A., Hower, J. C., Madukwe, H. Y., Nyakuma, B. B., Nasirudeen, M. B., Olanipekun, T. A., Mudzielwana, R., Gitari, M. W., &amp; Silva, L. F. O. (2022). Geochemical, mineralogical, and petrological characteristics of the Cretaceous coal from the middle Benue Trough Basin, Nigeria: Implication for coal depositional environments. </w:t>
      </w:r>
      <w:r>
        <w:rPr>
          <w:rFonts w:ascii="Times New Roman" w:eastAsia="Times New Roman" w:hAnsi="Times New Roman" w:cs="Times New Roman"/>
          <w:i/>
          <w:iCs/>
        </w:rPr>
        <w:t>Energy Geoscience</w:t>
      </w:r>
      <w:r>
        <w:rPr>
          <w:rFonts w:ascii="Times New Roman" w:eastAsia="Times New Roman" w:hAnsi="Times New Roman" w:cs="Times New Roman"/>
        </w:rPr>
        <w:t xml:space="preserve">, </w:t>
      </w:r>
      <w:r>
        <w:rPr>
          <w:rFonts w:ascii="Times New Roman" w:eastAsia="Times New Roman" w:hAnsi="Times New Roman" w:cs="Times New Roman"/>
          <w:i/>
          <w:iCs/>
        </w:rPr>
        <w:t>3</w:t>
      </w:r>
      <w:r>
        <w:rPr>
          <w:rFonts w:ascii="Times New Roman" w:eastAsia="Times New Roman" w:hAnsi="Times New Roman" w:cs="Times New Roman"/>
        </w:rPr>
        <w:t>(3), 300–313. https://doi.org/10.1016/j.engeos.2022.04.004</w:t>
      </w:r>
    </w:p>
    <w:p w14:paraId="3838F959" w14:textId="77777777" w:rsidR="006B76D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Avet, F., Snellings, R., Alujas Diaz, A., Ben Haha, M., &amp; Scrivener, K. (2016). Development of a new rapid, relevant, and reliable (R3) test method to evaluate the pozzolanic reactivity of calcined kaolinitic clays. </w:t>
      </w:r>
      <w:r>
        <w:rPr>
          <w:rFonts w:ascii="Times New Roman" w:eastAsia="Times New Roman" w:hAnsi="Times New Roman" w:cs="Times New Roman"/>
          <w:i/>
          <w:iCs/>
        </w:rPr>
        <w:t>Cement and Concrete Research</w:t>
      </w:r>
      <w:r>
        <w:rPr>
          <w:rFonts w:ascii="Times New Roman" w:eastAsia="Times New Roman" w:hAnsi="Times New Roman" w:cs="Times New Roman"/>
        </w:rPr>
        <w:t xml:space="preserve">, </w:t>
      </w:r>
      <w:r>
        <w:rPr>
          <w:rFonts w:ascii="Times New Roman" w:eastAsia="Times New Roman" w:hAnsi="Times New Roman" w:cs="Times New Roman"/>
          <w:i/>
          <w:iCs/>
        </w:rPr>
        <w:t>85</w:t>
      </w:r>
      <w:r>
        <w:rPr>
          <w:rFonts w:ascii="Times New Roman" w:eastAsia="Times New Roman" w:hAnsi="Times New Roman" w:cs="Times New Roman"/>
        </w:rPr>
        <w:t xml:space="preserve">, 1–11. </w:t>
      </w:r>
    </w:p>
    <w:p w14:paraId="214C992A" w14:textId="7E8E6801" w:rsidR="00D6590C" w:rsidRDefault="00D6590C" w:rsidP="006B76D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https://doi.org/10.1016/j.cemconres.2016.02.015</w:t>
      </w:r>
    </w:p>
    <w:p w14:paraId="129C9C6E"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Awad, M. E., López-Galindo, A., Setti, M., El-Rahmany, M. M., &amp; Iborra, C. V. (2017). Kaolinite in pharmaceutics and biomedicine. </w:t>
      </w:r>
      <w:r>
        <w:rPr>
          <w:rFonts w:ascii="Times New Roman" w:eastAsia="Times New Roman" w:hAnsi="Times New Roman" w:cs="Times New Roman"/>
          <w:i/>
          <w:iCs/>
        </w:rPr>
        <w:t>International Journal of Pharmaceutics</w:t>
      </w:r>
      <w:r>
        <w:rPr>
          <w:rFonts w:ascii="Times New Roman" w:eastAsia="Times New Roman" w:hAnsi="Times New Roman" w:cs="Times New Roman"/>
        </w:rPr>
        <w:t xml:space="preserve">, </w:t>
      </w:r>
      <w:r>
        <w:rPr>
          <w:rFonts w:ascii="Times New Roman" w:eastAsia="Times New Roman" w:hAnsi="Times New Roman" w:cs="Times New Roman"/>
          <w:i/>
          <w:iCs/>
        </w:rPr>
        <w:t>533</w:t>
      </w:r>
      <w:r>
        <w:rPr>
          <w:rFonts w:ascii="Times New Roman" w:eastAsia="Times New Roman" w:hAnsi="Times New Roman" w:cs="Times New Roman"/>
        </w:rPr>
        <w:t>(1), 34–48. https://doi.org/10.1016/j.ijpharm.2017.09.056</w:t>
      </w:r>
    </w:p>
    <w:p w14:paraId="1D29D5F8"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Ayalew, A. A., &amp; Demir, I. (2023). Physicochemical Characterization of Ethiopian-Mined Kaolin Clay through a Beneficiation Process. </w:t>
      </w:r>
      <w:r>
        <w:rPr>
          <w:rFonts w:ascii="Times New Roman" w:eastAsia="Times New Roman" w:hAnsi="Times New Roman" w:cs="Times New Roman"/>
          <w:i/>
          <w:iCs/>
        </w:rPr>
        <w:t>Advances in Materials Science and Engineering</w:t>
      </w:r>
      <w:r>
        <w:rPr>
          <w:rFonts w:ascii="Times New Roman" w:eastAsia="Times New Roman" w:hAnsi="Times New Roman" w:cs="Times New Roman"/>
        </w:rPr>
        <w:t xml:space="preserve">, </w:t>
      </w:r>
      <w:r>
        <w:rPr>
          <w:rFonts w:ascii="Times New Roman" w:eastAsia="Times New Roman" w:hAnsi="Times New Roman" w:cs="Times New Roman"/>
          <w:i/>
          <w:iCs/>
        </w:rPr>
        <w:t>2023</w:t>
      </w:r>
      <w:r>
        <w:rPr>
          <w:rFonts w:ascii="Times New Roman" w:eastAsia="Times New Roman" w:hAnsi="Times New Roman" w:cs="Times New Roman"/>
        </w:rPr>
        <w:t>. https://doi.org/10.1155/2023/9104807</w:t>
      </w:r>
    </w:p>
    <w:p w14:paraId="690252CC"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Bain, J. A., &amp; Highley, D. E. (1979). Regional Appraisal of Clay Resources - A Challenge to the Clay Mineralogist. In M. M. Mortland &amp; V. C. B. T.-D. in S. Farmer (Eds.), </w:t>
      </w:r>
      <w:r>
        <w:rPr>
          <w:rFonts w:ascii="Times New Roman" w:eastAsia="Times New Roman" w:hAnsi="Times New Roman" w:cs="Times New Roman"/>
          <w:i/>
          <w:iCs/>
        </w:rPr>
        <w:t>International Clay Conference 1978</w:t>
      </w:r>
      <w:r>
        <w:rPr>
          <w:rFonts w:ascii="Times New Roman" w:eastAsia="Times New Roman" w:hAnsi="Times New Roman" w:cs="Times New Roman"/>
        </w:rPr>
        <w:t xml:space="preserve"> (Vol. 27, pp. 437–446). Elsevier. https://doi.org/https://doi.org/10.1016/S0070-4571(08)70741-6</w:t>
      </w:r>
    </w:p>
    <w:p w14:paraId="192F55CC"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Benkhelil, J. (1989). The origin and evolution of the Cretaceous Benue Trough (Nigeria). </w:t>
      </w:r>
      <w:r>
        <w:rPr>
          <w:rFonts w:ascii="Times New Roman" w:eastAsia="Times New Roman" w:hAnsi="Times New Roman" w:cs="Times New Roman"/>
          <w:i/>
          <w:iCs/>
        </w:rPr>
        <w:t>Journal of African Earth Sciences (and the Middle East)</w:t>
      </w:r>
      <w:r>
        <w:rPr>
          <w:rFonts w:ascii="Times New Roman" w:eastAsia="Times New Roman" w:hAnsi="Times New Roman" w:cs="Times New Roman"/>
        </w:rPr>
        <w:t xml:space="preserve">, </w:t>
      </w:r>
      <w:r>
        <w:rPr>
          <w:rFonts w:ascii="Times New Roman" w:eastAsia="Times New Roman" w:hAnsi="Times New Roman" w:cs="Times New Roman"/>
          <w:i/>
          <w:iCs/>
        </w:rPr>
        <w:t>8</w:t>
      </w:r>
      <w:r>
        <w:rPr>
          <w:rFonts w:ascii="Times New Roman" w:eastAsia="Times New Roman" w:hAnsi="Times New Roman" w:cs="Times New Roman"/>
        </w:rPr>
        <w:t>(2), 251–282. https://doi.org/https://doi.org/10.1016/S0899-5362(89)80028-4</w:t>
      </w:r>
    </w:p>
    <w:p w14:paraId="2413F628" w14:textId="77777777" w:rsidR="00371C2F" w:rsidRDefault="00371C2F" w:rsidP="00D6590C">
      <w:pPr>
        <w:widowControl w:val="0"/>
        <w:spacing w:after="0" w:line="360" w:lineRule="auto"/>
        <w:ind w:left="480" w:hanging="480"/>
        <w:rPr>
          <w:rFonts w:ascii="Times New Roman" w:eastAsia="Times New Roman" w:hAnsi="Times New Roman" w:cs="Times New Roman"/>
        </w:rPr>
      </w:pPr>
    </w:p>
    <w:p w14:paraId="699FEB86" w14:textId="054E3355"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lastRenderedPageBreak/>
        <w:t xml:space="preserve">Bolarinwa, A. T., Idakwo, S. O., &amp; Bish, D. L. (2021). Source area weathering, provenance, and tectonic setting of the Campanian-Maastrichtian clay sequences in the Lower Benue Trough of Nigeria. </w:t>
      </w:r>
      <w:r>
        <w:rPr>
          <w:rFonts w:ascii="Times New Roman" w:eastAsia="Times New Roman" w:hAnsi="Times New Roman" w:cs="Times New Roman"/>
          <w:i/>
          <w:iCs/>
        </w:rPr>
        <w:t>Journal of African Earth Sciences</w:t>
      </w:r>
      <w:r>
        <w:rPr>
          <w:rFonts w:ascii="Times New Roman" w:eastAsia="Times New Roman" w:hAnsi="Times New Roman" w:cs="Times New Roman"/>
        </w:rPr>
        <w:t xml:space="preserve">, </w:t>
      </w:r>
      <w:r>
        <w:rPr>
          <w:rFonts w:ascii="Times New Roman" w:eastAsia="Times New Roman" w:hAnsi="Times New Roman" w:cs="Times New Roman"/>
          <w:i/>
          <w:iCs/>
        </w:rPr>
        <w:t>173</w:t>
      </w:r>
      <w:r>
        <w:rPr>
          <w:rFonts w:ascii="Times New Roman" w:eastAsia="Times New Roman" w:hAnsi="Times New Roman" w:cs="Times New Roman"/>
        </w:rPr>
        <w:t xml:space="preserve">. </w:t>
      </w:r>
    </w:p>
    <w:p w14:paraId="47FB25FC" w14:textId="6AC383B0" w:rsidR="00D6590C" w:rsidRDefault="00D6590C" w:rsidP="00661697">
      <w:pPr>
        <w:widowControl w:val="0"/>
        <w:spacing w:after="0" w:line="360" w:lineRule="auto"/>
        <w:ind w:firstLine="480"/>
        <w:rPr>
          <w:rFonts w:ascii="Times New Roman" w:eastAsia="Times New Roman" w:hAnsi="Times New Roman" w:cs="Times New Roman"/>
        </w:rPr>
      </w:pPr>
      <w:r>
        <w:rPr>
          <w:rFonts w:ascii="Times New Roman" w:eastAsia="Times New Roman" w:hAnsi="Times New Roman" w:cs="Times New Roman"/>
        </w:rPr>
        <w:t>https://doi.org/10.1016/j.jafrearsci.2020.104050</w:t>
      </w:r>
    </w:p>
    <w:p w14:paraId="08ED1B34"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Botto, I. L., Tuti, S., Gonzalez, M. J., &amp; Gazzoli, D. (2016). Correlation between Iron Reducibility in Natural and Iron-Modified Clays and Its Adsorptive Capability for Arsenic Removal. </w:t>
      </w:r>
      <w:r>
        <w:rPr>
          <w:rFonts w:ascii="Times New Roman" w:eastAsia="Times New Roman" w:hAnsi="Times New Roman" w:cs="Times New Roman"/>
          <w:i/>
          <w:iCs/>
        </w:rPr>
        <w:t>Advances in Materials Physics and Chemistry</w:t>
      </w:r>
      <w:r>
        <w:rPr>
          <w:rFonts w:ascii="Times New Roman" w:eastAsia="Times New Roman" w:hAnsi="Times New Roman" w:cs="Times New Roman"/>
        </w:rPr>
        <w:t xml:space="preserve">, </w:t>
      </w:r>
      <w:r>
        <w:rPr>
          <w:rFonts w:ascii="Times New Roman" w:eastAsia="Times New Roman" w:hAnsi="Times New Roman" w:cs="Times New Roman"/>
          <w:i/>
          <w:iCs/>
        </w:rPr>
        <w:t>06</w:t>
      </w:r>
      <w:r>
        <w:rPr>
          <w:rFonts w:ascii="Times New Roman" w:eastAsia="Times New Roman" w:hAnsi="Times New Roman" w:cs="Times New Roman"/>
        </w:rPr>
        <w:t>(05), 129–139. https://doi.org/10.4236/ampc.2016.65014</w:t>
      </w:r>
    </w:p>
    <w:p w14:paraId="20993ECF" w14:textId="3D9B2756" w:rsidR="006B76D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Boukoffa, Mechati, Lamouri, B., Bouabsa, L., &amp; Fagel, N. (2021). </w:t>
      </w:r>
      <w:r>
        <w:rPr>
          <w:rFonts w:ascii="Times New Roman" w:eastAsia="Times New Roman" w:hAnsi="Times New Roman" w:cs="Times New Roman"/>
          <w:i/>
          <w:iCs/>
        </w:rPr>
        <w:t>Mineralogical, Physicochemical, and Geochemical Characterization of Three Kaolinitic Clays (Ne Algeria): Comparative Study</w:t>
      </w:r>
      <w:r>
        <w:rPr>
          <w:rFonts w:ascii="Times New Roman" w:eastAsia="Times New Roman" w:hAnsi="Times New Roman" w:cs="Times New Roman"/>
        </w:rPr>
        <w:t xml:space="preserve">. 1–28. </w:t>
      </w:r>
    </w:p>
    <w:p w14:paraId="0B394787" w14:textId="07E0A6CB" w:rsidR="00D6590C" w:rsidRDefault="006B76D7" w:rsidP="006B76D7">
      <w:pPr>
        <w:widowControl w:val="0"/>
        <w:spacing w:after="0" w:line="360" w:lineRule="auto"/>
        <w:ind w:left="480"/>
        <w:rPr>
          <w:rFonts w:ascii="Times New Roman" w:eastAsia="Times New Roman" w:hAnsi="Times New Roman" w:cs="Times New Roman"/>
        </w:rPr>
      </w:pPr>
      <w:hyperlink r:id="rId29" w:history="1">
        <w:r w:rsidRPr="00F00CE5">
          <w:rPr>
            <w:rStyle w:val="Hyperlink"/>
            <w:rFonts w:ascii="Times New Roman" w:eastAsia="Times New Roman" w:hAnsi="Times New Roman" w:cs="Times New Roman"/>
          </w:rPr>
          <w:t>https://www.researchsquare.com/article/rs-</w:t>
        </w:r>
      </w:hyperlink>
      <w:r>
        <w:rPr>
          <w:rFonts w:ascii="Times New Roman" w:eastAsia="Times New Roman" w:hAnsi="Times New Roman" w:cs="Times New Roman"/>
        </w:rPr>
        <w:t>1</w:t>
      </w:r>
      <w:r w:rsidR="00D6590C">
        <w:rPr>
          <w:rFonts w:ascii="Times New Roman" w:eastAsia="Times New Roman" w:hAnsi="Times New Roman" w:cs="Times New Roman"/>
        </w:rPr>
        <w:t>98012/v1</w:t>
      </w:r>
    </w:p>
    <w:p w14:paraId="2F79AAE9"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Buyondo, K. A., Kasedde, H., &amp; Kirabira, J. B. (2022). A comprehensive review on kaolin as a pigment for paint and coating: Recent trends of chemical-based paints, their environmental impacts, and regulation. </w:t>
      </w:r>
      <w:r>
        <w:rPr>
          <w:rFonts w:ascii="Times New Roman" w:eastAsia="Times New Roman" w:hAnsi="Times New Roman" w:cs="Times New Roman"/>
          <w:i/>
          <w:iCs/>
        </w:rPr>
        <w:t>Case Studies in Chemical and Environmental Engineering</w:t>
      </w:r>
      <w:r>
        <w:rPr>
          <w:rFonts w:ascii="Times New Roman" w:eastAsia="Times New Roman" w:hAnsi="Times New Roman" w:cs="Times New Roman"/>
        </w:rPr>
        <w:t xml:space="preserve">, </w:t>
      </w:r>
      <w:r>
        <w:rPr>
          <w:rFonts w:ascii="Times New Roman" w:eastAsia="Times New Roman" w:hAnsi="Times New Roman" w:cs="Times New Roman"/>
          <w:i/>
          <w:iCs/>
        </w:rPr>
        <w:t>6</w:t>
      </w:r>
      <w:r>
        <w:rPr>
          <w:rFonts w:ascii="Times New Roman" w:eastAsia="Times New Roman" w:hAnsi="Times New Roman" w:cs="Times New Roman"/>
        </w:rPr>
        <w:t>. https://doi.org/10.1016/j.cscee.2022.100244</w:t>
      </w:r>
    </w:p>
    <w:p w14:paraId="441FF0A6"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Casagrande, A. (1948). Classification and Identification of Soils. </w:t>
      </w:r>
      <w:r>
        <w:rPr>
          <w:rFonts w:ascii="Times New Roman" w:eastAsia="Times New Roman" w:hAnsi="Times New Roman" w:cs="Times New Roman"/>
          <w:i/>
          <w:iCs/>
        </w:rPr>
        <w:t>Transactions of the American Society of Civil Engineers</w:t>
      </w:r>
      <w:r>
        <w:rPr>
          <w:rFonts w:ascii="Times New Roman" w:eastAsia="Times New Roman" w:hAnsi="Times New Roman" w:cs="Times New Roman"/>
        </w:rPr>
        <w:t xml:space="preserve">, </w:t>
      </w:r>
      <w:r>
        <w:rPr>
          <w:rFonts w:ascii="Times New Roman" w:eastAsia="Times New Roman" w:hAnsi="Times New Roman" w:cs="Times New Roman"/>
          <w:i/>
          <w:iCs/>
        </w:rPr>
        <w:t>113</w:t>
      </w:r>
      <w:r>
        <w:rPr>
          <w:rFonts w:ascii="Times New Roman" w:eastAsia="Times New Roman" w:hAnsi="Times New Roman" w:cs="Times New Roman"/>
        </w:rPr>
        <w:t xml:space="preserve">, 901–930. </w:t>
      </w:r>
    </w:p>
    <w:p w14:paraId="699E6E34" w14:textId="036E9392" w:rsidR="00D6590C" w:rsidRDefault="00D6590C" w:rsidP="00661697">
      <w:pPr>
        <w:widowControl w:val="0"/>
        <w:spacing w:after="0" w:line="360" w:lineRule="auto"/>
        <w:ind w:firstLine="480"/>
        <w:rPr>
          <w:rFonts w:ascii="Times New Roman" w:eastAsia="Times New Roman" w:hAnsi="Times New Roman" w:cs="Times New Roman"/>
        </w:rPr>
      </w:pPr>
      <w:r>
        <w:rPr>
          <w:rFonts w:ascii="Times New Roman" w:eastAsia="Times New Roman" w:hAnsi="Times New Roman" w:cs="Times New Roman"/>
        </w:rPr>
        <w:t>https://api.semanticscholar.org/CorpusID:131840675</w:t>
      </w:r>
    </w:p>
    <w:p w14:paraId="7DF6BE9E"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Cheah, C. B., Liew, J. J., Khaw, K. L. P., bin Md Akil, H., &amp; Alengaram, U. J. (2025). Calcined clay as a low-carbon cementitious material: Comprehensive review of treatment method, properties, and performance in concrete. </w:t>
      </w:r>
      <w:r>
        <w:rPr>
          <w:rFonts w:ascii="Times New Roman" w:eastAsia="Times New Roman" w:hAnsi="Times New Roman" w:cs="Times New Roman"/>
          <w:i/>
          <w:iCs/>
        </w:rPr>
        <w:t>Cleaner Waste Systems</w:t>
      </w:r>
      <w:r>
        <w:rPr>
          <w:rFonts w:ascii="Times New Roman" w:eastAsia="Times New Roman" w:hAnsi="Times New Roman" w:cs="Times New Roman"/>
        </w:rPr>
        <w:t xml:space="preserve">, </w:t>
      </w:r>
      <w:r>
        <w:rPr>
          <w:rFonts w:ascii="Times New Roman" w:eastAsia="Times New Roman" w:hAnsi="Times New Roman" w:cs="Times New Roman"/>
          <w:i/>
          <w:iCs/>
        </w:rPr>
        <w:t>11</w:t>
      </w:r>
      <w:r>
        <w:rPr>
          <w:rFonts w:ascii="Times New Roman" w:eastAsia="Times New Roman" w:hAnsi="Times New Roman" w:cs="Times New Roman"/>
        </w:rPr>
        <w:t>. https://doi.org/10.1016/j.clwas.2025.100323</w:t>
      </w:r>
    </w:p>
    <w:p w14:paraId="7DFBABA8"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Dewi, R., Agusnar, H., Alfian, Z., &amp; Tamrin. (2018). Characterization of technical kaolin using XRF, SEM, XRD, and FTIR and its potentials as industrial raw materials. </w:t>
      </w:r>
      <w:r>
        <w:rPr>
          <w:rFonts w:ascii="Times New Roman" w:eastAsia="Times New Roman" w:hAnsi="Times New Roman" w:cs="Times New Roman"/>
          <w:i/>
          <w:iCs/>
        </w:rPr>
        <w:t>Journal of Physics: Conference Series</w:t>
      </w:r>
      <w:r>
        <w:rPr>
          <w:rFonts w:ascii="Times New Roman" w:eastAsia="Times New Roman" w:hAnsi="Times New Roman" w:cs="Times New Roman"/>
        </w:rPr>
        <w:t xml:space="preserve">, </w:t>
      </w:r>
      <w:r>
        <w:rPr>
          <w:rFonts w:ascii="Times New Roman" w:eastAsia="Times New Roman" w:hAnsi="Times New Roman" w:cs="Times New Roman"/>
          <w:i/>
          <w:iCs/>
        </w:rPr>
        <w:t>1116</w:t>
      </w:r>
      <w:r>
        <w:rPr>
          <w:rFonts w:ascii="Times New Roman" w:eastAsia="Times New Roman" w:hAnsi="Times New Roman" w:cs="Times New Roman"/>
        </w:rPr>
        <w:t>(4). https://doi.org/10.1088/1742-6596/1116/4/042010</w:t>
      </w:r>
    </w:p>
    <w:p w14:paraId="3AF53A67"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Enea, D., Bellardita, M., Scalisi, P., Alaimo, G., &amp; Palmisano, L. (2019). Effects of weathering on the performance of self-cleaning photocatalytic paints. </w:t>
      </w:r>
      <w:r>
        <w:rPr>
          <w:rFonts w:ascii="Times New Roman" w:eastAsia="Times New Roman" w:hAnsi="Times New Roman" w:cs="Times New Roman"/>
          <w:i/>
          <w:iCs/>
        </w:rPr>
        <w:t>Cement and Concrete Composites</w:t>
      </w:r>
      <w:r>
        <w:rPr>
          <w:rFonts w:ascii="Times New Roman" w:eastAsia="Times New Roman" w:hAnsi="Times New Roman" w:cs="Times New Roman"/>
        </w:rPr>
        <w:t xml:space="preserve">, </w:t>
      </w:r>
      <w:r>
        <w:rPr>
          <w:rFonts w:ascii="Times New Roman" w:eastAsia="Times New Roman" w:hAnsi="Times New Roman" w:cs="Times New Roman"/>
          <w:i/>
          <w:iCs/>
        </w:rPr>
        <w:t>96</w:t>
      </w:r>
      <w:r>
        <w:rPr>
          <w:rFonts w:ascii="Times New Roman" w:eastAsia="Times New Roman" w:hAnsi="Times New Roman" w:cs="Times New Roman"/>
        </w:rPr>
        <w:t>, 77–86. https://doi.org/10.1016/j.cemconcomp.2018.11.013</w:t>
      </w:r>
    </w:p>
    <w:p w14:paraId="6CCE4A52"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Erkmen, J., Yavuz, H. I., Kavci, E., &amp; Sari, M. (2020). A new environmentally friendly insulating material designed from natural materials. </w:t>
      </w:r>
      <w:r>
        <w:rPr>
          <w:rFonts w:ascii="Times New Roman" w:eastAsia="Times New Roman" w:hAnsi="Times New Roman" w:cs="Times New Roman"/>
          <w:i/>
          <w:iCs/>
        </w:rPr>
        <w:t>Construction and Building Materials</w:t>
      </w:r>
      <w:r>
        <w:rPr>
          <w:rFonts w:ascii="Times New Roman" w:eastAsia="Times New Roman" w:hAnsi="Times New Roman" w:cs="Times New Roman"/>
        </w:rPr>
        <w:t xml:space="preserve">, </w:t>
      </w:r>
      <w:r>
        <w:rPr>
          <w:rFonts w:ascii="Times New Roman" w:eastAsia="Times New Roman" w:hAnsi="Times New Roman" w:cs="Times New Roman"/>
          <w:i/>
          <w:iCs/>
        </w:rPr>
        <w:t>255</w:t>
      </w:r>
      <w:r>
        <w:rPr>
          <w:rFonts w:ascii="Times New Roman" w:eastAsia="Times New Roman" w:hAnsi="Times New Roman" w:cs="Times New Roman"/>
        </w:rPr>
        <w:t>. https://doi.org/10.1016/j.conbuildmat.2020.119357</w:t>
      </w:r>
    </w:p>
    <w:p w14:paraId="410621E0"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Eyankware, M. O., Ogwah, C., &amp; Ike, J. C. (2021). A Synoptic Review of Mineralogical and Chemical Characteristics of Clays in the Southern Part of Nigeria. </w:t>
      </w:r>
      <w:r>
        <w:rPr>
          <w:rFonts w:ascii="Times New Roman" w:eastAsia="Times New Roman" w:hAnsi="Times New Roman" w:cs="Times New Roman"/>
          <w:i/>
          <w:iCs/>
        </w:rPr>
        <w:t>Research in Ecology</w:t>
      </w:r>
      <w:r>
        <w:rPr>
          <w:rFonts w:ascii="Times New Roman" w:eastAsia="Times New Roman" w:hAnsi="Times New Roman" w:cs="Times New Roman"/>
        </w:rPr>
        <w:t xml:space="preserve">, </w:t>
      </w:r>
      <w:r>
        <w:rPr>
          <w:rFonts w:ascii="Times New Roman" w:eastAsia="Times New Roman" w:hAnsi="Times New Roman" w:cs="Times New Roman"/>
          <w:i/>
          <w:iCs/>
        </w:rPr>
        <w:lastRenderedPageBreak/>
        <w:t>3</w:t>
      </w:r>
      <w:r>
        <w:rPr>
          <w:rFonts w:ascii="Times New Roman" w:eastAsia="Times New Roman" w:hAnsi="Times New Roman" w:cs="Times New Roman"/>
        </w:rPr>
        <w:t>(2), 32–45. https://doi.org/10.30564/re.v3i2.3057</w:t>
      </w:r>
    </w:p>
    <w:p w14:paraId="234E7268" w14:textId="3889F62D"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Fairhead, J. D., Green, C. M., Masterton, S. M., &amp; Guiraud, R. (2013). The role that plate tectonics, inferred stress changes, and stratigraphic unconformities have on the evolution of the West and Central African Rift System and the Atlantic continental margins. </w:t>
      </w:r>
      <w:r>
        <w:rPr>
          <w:rFonts w:ascii="Times New Roman" w:eastAsia="Times New Roman" w:hAnsi="Times New Roman" w:cs="Times New Roman"/>
          <w:i/>
          <w:iCs/>
        </w:rPr>
        <w:t>Tectonophysics</w:t>
      </w:r>
      <w:r>
        <w:rPr>
          <w:rFonts w:ascii="Times New Roman" w:eastAsia="Times New Roman" w:hAnsi="Times New Roman" w:cs="Times New Roman"/>
        </w:rPr>
        <w:t xml:space="preserve">, </w:t>
      </w:r>
      <w:r>
        <w:rPr>
          <w:rFonts w:ascii="Times New Roman" w:eastAsia="Times New Roman" w:hAnsi="Times New Roman" w:cs="Times New Roman"/>
          <w:i/>
          <w:iCs/>
        </w:rPr>
        <w:t>594</w:t>
      </w:r>
      <w:r>
        <w:rPr>
          <w:rFonts w:ascii="Times New Roman" w:eastAsia="Times New Roman" w:hAnsi="Times New Roman" w:cs="Times New Roman"/>
        </w:rPr>
        <w:t>, 118–127. https://doi.org/https://doi.org/10.1016/j.tecto.2013.03.021</w:t>
      </w:r>
    </w:p>
    <w:p w14:paraId="1387C611"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Fiori, C., Fabbri, B., Donati, G., &amp; Venturi, I. (1989). Mineralogical composition of the clay bodies used in the Italian tile industry. </w:t>
      </w:r>
      <w:r>
        <w:rPr>
          <w:rFonts w:ascii="Times New Roman" w:eastAsia="Times New Roman" w:hAnsi="Times New Roman" w:cs="Times New Roman"/>
          <w:i/>
          <w:iCs/>
        </w:rPr>
        <w:t>Applied Clay Science</w:t>
      </w:r>
      <w:r>
        <w:rPr>
          <w:rFonts w:ascii="Times New Roman" w:eastAsia="Times New Roman" w:hAnsi="Times New Roman" w:cs="Times New Roman"/>
        </w:rPr>
        <w:t xml:space="preserve">, </w:t>
      </w:r>
      <w:r>
        <w:rPr>
          <w:rFonts w:ascii="Times New Roman" w:eastAsia="Times New Roman" w:hAnsi="Times New Roman" w:cs="Times New Roman"/>
          <w:i/>
          <w:iCs/>
        </w:rPr>
        <w:t>4</w:t>
      </w:r>
      <w:r>
        <w:rPr>
          <w:rFonts w:ascii="Times New Roman" w:eastAsia="Times New Roman" w:hAnsi="Times New Roman" w:cs="Times New Roman"/>
        </w:rPr>
        <w:t>(5), 461–473. https://doi.org/https://doi.org/10.1016/0169-1317(89)90023-9</w:t>
      </w:r>
    </w:p>
    <w:p w14:paraId="5AC63C30"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Garcia-Valles, M., Alfonso, P., Martínez, S., &amp; Roca, N. (2020). Mineralogical and thermal characterization of kaolinitic clays from terra alta (Catalonia, Spain). </w:t>
      </w:r>
      <w:r>
        <w:rPr>
          <w:rFonts w:ascii="Times New Roman" w:eastAsia="Times New Roman" w:hAnsi="Times New Roman" w:cs="Times New Roman"/>
          <w:i/>
          <w:iCs/>
        </w:rPr>
        <w:t>Minerals</w:t>
      </w:r>
      <w:r>
        <w:rPr>
          <w:rFonts w:ascii="Times New Roman" w:eastAsia="Times New Roman" w:hAnsi="Times New Roman" w:cs="Times New Roman"/>
        </w:rPr>
        <w:t xml:space="preserve">, </w:t>
      </w:r>
      <w:r>
        <w:rPr>
          <w:rFonts w:ascii="Times New Roman" w:eastAsia="Times New Roman" w:hAnsi="Times New Roman" w:cs="Times New Roman"/>
          <w:i/>
          <w:iCs/>
        </w:rPr>
        <w:t>10</w:t>
      </w:r>
      <w:r>
        <w:rPr>
          <w:rFonts w:ascii="Times New Roman" w:eastAsia="Times New Roman" w:hAnsi="Times New Roman" w:cs="Times New Roman"/>
        </w:rPr>
        <w:t>(2). https://doi.org/10.3390/min10020142</w:t>
      </w:r>
    </w:p>
    <w:p w14:paraId="4046E05F"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Goldberg, K., &amp; Humayun, M. (2010). The applicability of the Chemical Index of Alteration as a paleoclimatic indicator: An example from the Permian of the Paraná Basin, Brazil. </w:t>
      </w:r>
      <w:r>
        <w:rPr>
          <w:rFonts w:ascii="Times New Roman" w:eastAsia="Times New Roman" w:hAnsi="Times New Roman" w:cs="Times New Roman"/>
          <w:i/>
          <w:iCs/>
        </w:rPr>
        <w:t>Palaeogeography, Palaeoclimatology, Palaeoecology</w:t>
      </w:r>
      <w:r>
        <w:rPr>
          <w:rFonts w:ascii="Times New Roman" w:eastAsia="Times New Roman" w:hAnsi="Times New Roman" w:cs="Times New Roman"/>
        </w:rPr>
        <w:t xml:space="preserve">, </w:t>
      </w:r>
      <w:r>
        <w:rPr>
          <w:rFonts w:ascii="Times New Roman" w:eastAsia="Times New Roman" w:hAnsi="Times New Roman" w:cs="Times New Roman"/>
          <w:i/>
          <w:iCs/>
        </w:rPr>
        <w:t>293</w:t>
      </w:r>
      <w:r>
        <w:rPr>
          <w:rFonts w:ascii="Times New Roman" w:eastAsia="Times New Roman" w:hAnsi="Times New Roman" w:cs="Times New Roman"/>
        </w:rPr>
        <w:t xml:space="preserve">, 175–183. </w:t>
      </w:r>
    </w:p>
    <w:p w14:paraId="01FFD841" w14:textId="72C30FED"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https://doi.org/10.1016/j.palaeo.2010.05.015</w:t>
      </w:r>
    </w:p>
    <w:p w14:paraId="656BDEA8"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Gu, X., &amp; Ling, Y. (2024). Characterization and properties of Chinese red clay for use as ceramic and construction materials. </w:t>
      </w:r>
      <w:r>
        <w:rPr>
          <w:rFonts w:ascii="Times New Roman" w:eastAsia="Times New Roman" w:hAnsi="Times New Roman" w:cs="Times New Roman"/>
          <w:i/>
          <w:iCs/>
        </w:rPr>
        <w:t>Science Progress</w:t>
      </w:r>
      <w:r>
        <w:rPr>
          <w:rFonts w:ascii="Times New Roman" w:eastAsia="Times New Roman" w:hAnsi="Times New Roman" w:cs="Times New Roman"/>
        </w:rPr>
        <w:t xml:space="preserve">, </w:t>
      </w:r>
      <w:r>
        <w:rPr>
          <w:rFonts w:ascii="Times New Roman" w:eastAsia="Times New Roman" w:hAnsi="Times New Roman" w:cs="Times New Roman"/>
          <w:i/>
          <w:iCs/>
        </w:rPr>
        <w:t>107</w:t>
      </w:r>
      <w:r>
        <w:rPr>
          <w:rFonts w:ascii="Times New Roman" w:eastAsia="Times New Roman" w:hAnsi="Times New Roman" w:cs="Times New Roman"/>
        </w:rPr>
        <w:t xml:space="preserve">(1). </w:t>
      </w:r>
    </w:p>
    <w:p w14:paraId="4F17EEC8" w14:textId="7A1A7E4A"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https://doi.org/10.1177/00368504241232534</w:t>
      </w:r>
    </w:p>
    <w:p w14:paraId="64305F33"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Idrissi, H., Daoudi, L., Alami, J., El Ouahabi Meriam, &amp; Fagel, N. (2021). </w:t>
      </w:r>
      <w:r>
        <w:rPr>
          <w:rFonts w:ascii="Times New Roman" w:eastAsia="Times New Roman" w:hAnsi="Times New Roman" w:cs="Times New Roman"/>
          <w:i/>
          <w:iCs/>
        </w:rPr>
        <w:t>Main parameters influencing the plastic behavior of clays used for traditional ceramic production</w:t>
      </w:r>
      <w:r>
        <w:rPr>
          <w:rFonts w:ascii="Times New Roman" w:eastAsia="Times New Roman" w:hAnsi="Times New Roman" w:cs="Times New Roman"/>
        </w:rPr>
        <w:t>. https://doi.org/10.31224/OSF.IO/USHM4</w:t>
      </w:r>
    </w:p>
    <w:p w14:paraId="06EF10DB"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Igwe, I. O., Ewulonu, C. M., Chikei, A. N., &amp; Nicholas, B. (2016). Performance Evaluation of Aro-Ndizuogu Local Clay in Alkyd Paint Production. </w:t>
      </w:r>
      <w:r>
        <w:rPr>
          <w:rFonts w:ascii="Times New Roman" w:eastAsia="Times New Roman" w:hAnsi="Times New Roman" w:cs="Times New Roman"/>
          <w:i/>
          <w:iCs/>
        </w:rPr>
        <w:t>International Journal of Engineering and Technologies</w:t>
      </w:r>
      <w:r>
        <w:rPr>
          <w:rFonts w:ascii="Times New Roman" w:eastAsia="Times New Roman" w:hAnsi="Times New Roman" w:cs="Times New Roman"/>
        </w:rPr>
        <w:t xml:space="preserve">, </w:t>
      </w:r>
      <w:r>
        <w:rPr>
          <w:rFonts w:ascii="Times New Roman" w:eastAsia="Times New Roman" w:hAnsi="Times New Roman" w:cs="Times New Roman"/>
          <w:i/>
          <w:iCs/>
        </w:rPr>
        <w:t>7</w:t>
      </w:r>
      <w:r>
        <w:rPr>
          <w:rFonts w:ascii="Times New Roman" w:eastAsia="Times New Roman" w:hAnsi="Times New Roman" w:cs="Times New Roman"/>
        </w:rPr>
        <w:t xml:space="preserve">, 87–93. </w:t>
      </w:r>
    </w:p>
    <w:p w14:paraId="2EC111A1" w14:textId="7649C3F2"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https://doi.org/10.18052/www.scipress.com/ijet.7.87</w:t>
      </w:r>
    </w:p>
    <w:p w14:paraId="3FCE08C2"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Ihekweme, G. O., Obianyo, I. I., Orisekeh, K. I., Kalu-Uka, G. M., Nwuzor, I. C., &amp; Onwualu, A. P. (2021). Plasticity characterization of certain Nigerian clay minerals for their application in ceramic water filters. </w:t>
      </w:r>
      <w:r>
        <w:rPr>
          <w:rFonts w:ascii="Times New Roman" w:eastAsia="Times New Roman" w:hAnsi="Times New Roman" w:cs="Times New Roman"/>
          <w:i/>
          <w:iCs/>
        </w:rPr>
        <w:t>Science Progress</w:t>
      </w:r>
      <w:r>
        <w:rPr>
          <w:rFonts w:ascii="Times New Roman" w:eastAsia="Times New Roman" w:hAnsi="Times New Roman" w:cs="Times New Roman"/>
        </w:rPr>
        <w:t xml:space="preserve">, </w:t>
      </w:r>
      <w:r>
        <w:rPr>
          <w:rFonts w:ascii="Times New Roman" w:eastAsia="Times New Roman" w:hAnsi="Times New Roman" w:cs="Times New Roman"/>
          <w:i/>
          <w:iCs/>
        </w:rPr>
        <w:t>104</w:t>
      </w:r>
      <w:r>
        <w:rPr>
          <w:rFonts w:ascii="Times New Roman" w:eastAsia="Times New Roman" w:hAnsi="Times New Roman" w:cs="Times New Roman"/>
        </w:rPr>
        <w:t>(2). https://doi.org/10.1177/00368504211012148</w:t>
      </w:r>
    </w:p>
    <w:p w14:paraId="5E32C7F3"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Kadyrova, Z. R., Purkhanatdinov, A. P., &amp; Niyazova, S. M. (2021). Study of Karakalpakstan Bentonite Clay for Producing Ceramic Heat-Insulating Materials. </w:t>
      </w:r>
      <w:r>
        <w:rPr>
          <w:rFonts w:ascii="Times New Roman" w:eastAsia="Times New Roman" w:hAnsi="Times New Roman" w:cs="Times New Roman"/>
          <w:i/>
          <w:iCs/>
        </w:rPr>
        <w:t>Refractories and Industrial Ceramics</w:t>
      </w:r>
      <w:r>
        <w:rPr>
          <w:rFonts w:ascii="Times New Roman" w:eastAsia="Times New Roman" w:hAnsi="Times New Roman" w:cs="Times New Roman"/>
        </w:rPr>
        <w:t xml:space="preserve">, </w:t>
      </w:r>
      <w:r>
        <w:rPr>
          <w:rFonts w:ascii="Times New Roman" w:eastAsia="Times New Roman" w:hAnsi="Times New Roman" w:cs="Times New Roman"/>
          <w:i/>
          <w:iCs/>
        </w:rPr>
        <w:t>61</w:t>
      </w:r>
      <w:r>
        <w:rPr>
          <w:rFonts w:ascii="Times New Roman" w:eastAsia="Times New Roman" w:hAnsi="Times New Roman" w:cs="Times New Roman"/>
        </w:rPr>
        <w:t>(5), 478–480. https://doi.org/10.1007/s11148-021-00528-1</w:t>
      </w:r>
    </w:p>
    <w:p w14:paraId="5D2DAE6F"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Kočí, V., Keppert, M., Trník, A., &amp; Černý, R. (2022). Characterization of Brick Clays Suitable for Advanced Ceramic Building Elements. </w:t>
      </w:r>
      <w:r>
        <w:rPr>
          <w:rFonts w:ascii="Times New Roman" w:eastAsia="Times New Roman" w:hAnsi="Times New Roman" w:cs="Times New Roman"/>
          <w:i/>
          <w:iCs/>
        </w:rPr>
        <w:t>AIP Conference Proceedings</w:t>
      </w:r>
      <w:r>
        <w:rPr>
          <w:rFonts w:ascii="Times New Roman" w:eastAsia="Times New Roman" w:hAnsi="Times New Roman" w:cs="Times New Roman"/>
        </w:rPr>
        <w:t xml:space="preserve">, </w:t>
      </w:r>
      <w:r>
        <w:rPr>
          <w:rFonts w:ascii="Times New Roman" w:eastAsia="Times New Roman" w:hAnsi="Times New Roman" w:cs="Times New Roman"/>
          <w:i/>
          <w:iCs/>
        </w:rPr>
        <w:t>2425</w:t>
      </w:r>
      <w:r>
        <w:rPr>
          <w:rFonts w:ascii="Times New Roman" w:eastAsia="Times New Roman" w:hAnsi="Times New Roman" w:cs="Times New Roman"/>
        </w:rPr>
        <w:t xml:space="preserve">. </w:t>
      </w:r>
      <w:r>
        <w:rPr>
          <w:rFonts w:ascii="Times New Roman" w:eastAsia="Times New Roman" w:hAnsi="Times New Roman" w:cs="Times New Roman"/>
        </w:rPr>
        <w:lastRenderedPageBreak/>
        <w:t>https://doi.org/10.1063/5.0081385</w:t>
      </w:r>
    </w:p>
    <w:p w14:paraId="3C89CD83"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Kumari, N., &amp; Mohan, C. (2021). Basics of Clay Minerals and Their Characteristic Properties. </w:t>
      </w:r>
      <w:r>
        <w:rPr>
          <w:rFonts w:ascii="Times New Roman" w:eastAsia="Times New Roman" w:hAnsi="Times New Roman" w:cs="Times New Roman"/>
          <w:i/>
          <w:iCs/>
        </w:rPr>
        <w:t>Clay and Clay Minerals</w:t>
      </w:r>
      <w:r>
        <w:rPr>
          <w:rFonts w:ascii="Times New Roman" w:eastAsia="Times New Roman" w:hAnsi="Times New Roman" w:cs="Times New Roman"/>
        </w:rPr>
        <w:t>. https://doi.org/10.5772/intechopen.97672</w:t>
      </w:r>
    </w:p>
    <w:p w14:paraId="0D9DF7BB"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Lar, U. A., Bata, T., Dibal, H., Yusuf, S. N., Lekmang, I., Goyit, M., &amp; Yenne, E. (2023). Potential petroleum prospects in the middle Benue Trough, central Nigeria: Inferences from integrated applications of geological, geophysical, and geochemical studies. </w:t>
      </w:r>
      <w:r>
        <w:rPr>
          <w:rFonts w:ascii="Times New Roman" w:eastAsia="Times New Roman" w:hAnsi="Times New Roman" w:cs="Times New Roman"/>
          <w:i/>
          <w:iCs/>
        </w:rPr>
        <w:t>Scientific African</w:t>
      </w:r>
      <w:r>
        <w:rPr>
          <w:rFonts w:ascii="Times New Roman" w:eastAsia="Times New Roman" w:hAnsi="Times New Roman" w:cs="Times New Roman"/>
        </w:rPr>
        <w:t xml:space="preserve">, </w:t>
      </w:r>
      <w:r>
        <w:rPr>
          <w:rFonts w:ascii="Times New Roman" w:eastAsia="Times New Roman" w:hAnsi="Times New Roman" w:cs="Times New Roman"/>
          <w:i/>
          <w:iCs/>
        </w:rPr>
        <w:t>19</w:t>
      </w:r>
      <w:r>
        <w:rPr>
          <w:rFonts w:ascii="Times New Roman" w:eastAsia="Times New Roman" w:hAnsi="Times New Roman" w:cs="Times New Roman"/>
        </w:rPr>
        <w:t>. https://doi.org/10.1016/j.sciaf.2022.e01436</w:t>
      </w:r>
    </w:p>
    <w:p w14:paraId="00356BF2"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Lee, H. J., Jung, K. Y., &amp; Kim, Y. S. (2021). Nanostructured Fe₂O₃/TiO₂ composite particles with enhanced NIR reflectance for application to LiDAR-detectable cool pigments. </w:t>
      </w:r>
      <w:r>
        <w:rPr>
          <w:rFonts w:ascii="Times New Roman" w:eastAsia="Times New Roman" w:hAnsi="Times New Roman" w:cs="Times New Roman"/>
          <w:i/>
          <w:iCs/>
        </w:rPr>
        <w:t>RSC Advances</w:t>
      </w:r>
      <w:r>
        <w:rPr>
          <w:rFonts w:ascii="Times New Roman" w:eastAsia="Times New Roman" w:hAnsi="Times New Roman" w:cs="Times New Roman"/>
        </w:rPr>
        <w:t xml:space="preserve">, </w:t>
      </w:r>
      <w:r>
        <w:rPr>
          <w:rFonts w:ascii="Times New Roman" w:eastAsia="Times New Roman" w:hAnsi="Times New Roman" w:cs="Times New Roman"/>
          <w:i/>
          <w:iCs/>
        </w:rPr>
        <w:t>11</w:t>
      </w:r>
      <w:r>
        <w:rPr>
          <w:rFonts w:ascii="Times New Roman" w:eastAsia="Times New Roman" w:hAnsi="Times New Roman" w:cs="Times New Roman"/>
        </w:rPr>
        <w:t>(28), 16834–16840. https://doi.org/10.1039/d1ra02614c</w:t>
      </w:r>
    </w:p>
    <w:p w14:paraId="13CCB62F"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Lei, H., Huang, W., Jiang, Q., &amp; Luo, P. (2022). Genesis of clay minerals and its insight for the formation of limestone marl alterations in the Middle Permian of the Sichuan Basin. </w:t>
      </w:r>
      <w:r>
        <w:rPr>
          <w:rFonts w:ascii="Times New Roman" w:eastAsia="Times New Roman" w:hAnsi="Times New Roman" w:cs="Times New Roman"/>
          <w:i/>
          <w:iCs/>
        </w:rPr>
        <w:t>Journal of Petroleum Science and Engineering</w:t>
      </w:r>
      <w:r>
        <w:rPr>
          <w:rFonts w:ascii="Times New Roman" w:eastAsia="Times New Roman" w:hAnsi="Times New Roman" w:cs="Times New Roman"/>
        </w:rPr>
        <w:t xml:space="preserve">, </w:t>
      </w:r>
      <w:r>
        <w:rPr>
          <w:rFonts w:ascii="Times New Roman" w:eastAsia="Times New Roman" w:hAnsi="Times New Roman" w:cs="Times New Roman"/>
          <w:i/>
          <w:iCs/>
        </w:rPr>
        <w:t>218</w:t>
      </w:r>
      <w:r>
        <w:rPr>
          <w:rFonts w:ascii="Times New Roman" w:eastAsia="Times New Roman" w:hAnsi="Times New Roman" w:cs="Times New Roman"/>
        </w:rPr>
        <w:t xml:space="preserve">. </w:t>
      </w:r>
    </w:p>
    <w:p w14:paraId="1C7AE06F" w14:textId="1D63AC10"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https://doi.org/10.1016/j.petrol.2022.111014</w:t>
      </w:r>
    </w:p>
    <w:p w14:paraId="3100BAAC"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Lorentz, B., Shanahan, N., Stetsko, Y. P., &amp; Zayed, A. (2018). Characterization of Florida kaolin clays using a multiple-technique approach. </w:t>
      </w:r>
      <w:r>
        <w:rPr>
          <w:rFonts w:ascii="Times New Roman" w:eastAsia="Times New Roman" w:hAnsi="Times New Roman" w:cs="Times New Roman"/>
          <w:i/>
          <w:iCs/>
        </w:rPr>
        <w:t>Applied Clay Science</w:t>
      </w:r>
      <w:r>
        <w:rPr>
          <w:rFonts w:ascii="Times New Roman" w:eastAsia="Times New Roman" w:hAnsi="Times New Roman" w:cs="Times New Roman"/>
        </w:rPr>
        <w:t xml:space="preserve">, </w:t>
      </w:r>
      <w:r>
        <w:rPr>
          <w:rFonts w:ascii="Times New Roman" w:eastAsia="Times New Roman" w:hAnsi="Times New Roman" w:cs="Times New Roman"/>
          <w:i/>
          <w:iCs/>
        </w:rPr>
        <w:t>161</w:t>
      </w:r>
      <w:r>
        <w:rPr>
          <w:rFonts w:ascii="Times New Roman" w:eastAsia="Times New Roman" w:hAnsi="Times New Roman" w:cs="Times New Roman"/>
        </w:rPr>
        <w:t>, 326–333. https://doi.org/https://doi.org/10.1016/j.clay.2018.05.001</w:t>
      </w:r>
    </w:p>
    <w:p w14:paraId="04063121"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Mangold, N., Dehouck, E., Fedo, C., Forni, O., Achilles, C., Bristow, T., Downs, R., Frydenvang, J., Gasnault, O., L’Haridon, J., Deit, L., Maurice, S., McLennan, S., Meslin, P., Morrison, S., Newsom, H., Rampe, E., Rapin, W., Rivera‐Hernández, F., … Wiens, R. (2019). Chemical alteration of fine-grained sedimentary rocks at Gale Crater. </w:t>
      </w:r>
      <w:r>
        <w:rPr>
          <w:rFonts w:ascii="Times New Roman" w:eastAsia="Times New Roman" w:hAnsi="Times New Roman" w:cs="Times New Roman"/>
          <w:i/>
          <w:iCs/>
        </w:rPr>
        <w:t>Icarus</w:t>
      </w:r>
      <w:r>
        <w:rPr>
          <w:rFonts w:ascii="Times New Roman" w:eastAsia="Times New Roman" w:hAnsi="Times New Roman" w:cs="Times New Roman"/>
        </w:rPr>
        <w:t>. https://doi.org/10.1016/j.icarus.2018.11.004</w:t>
      </w:r>
    </w:p>
    <w:p w14:paraId="7C976DE4"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Mangs, A. D., Wagner, N. J., Moroeng, O. M., &amp; Lar, U. A. (2022). Petrographic composition of coal within the Benue Trough, Nigeria, and a consideration of the paleodepositional setting. </w:t>
      </w:r>
      <w:r>
        <w:rPr>
          <w:rFonts w:ascii="Times New Roman" w:eastAsia="Times New Roman" w:hAnsi="Times New Roman" w:cs="Times New Roman"/>
          <w:i/>
          <w:iCs/>
        </w:rPr>
        <w:t>International Journal of Coal Science and Technology</w:t>
      </w:r>
      <w:r>
        <w:rPr>
          <w:rFonts w:ascii="Times New Roman" w:eastAsia="Times New Roman" w:hAnsi="Times New Roman" w:cs="Times New Roman"/>
        </w:rPr>
        <w:t xml:space="preserve">, </w:t>
      </w:r>
      <w:r>
        <w:rPr>
          <w:rFonts w:ascii="Times New Roman" w:eastAsia="Times New Roman" w:hAnsi="Times New Roman" w:cs="Times New Roman"/>
          <w:i/>
          <w:iCs/>
        </w:rPr>
        <w:t>9</w:t>
      </w:r>
      <w:r>
        <w:rPr>
          <w:rFonts w:ascii="Times New Roman" w:eastAsia="Times New Roman" w:hAnsi="Times New Roman" w:cs="Times New Roman"/>
        </w:rPr>
        <w:t>(1). https://doi.org/10.1007/s40789-022-00500-5</w:t>
      </w:r>
    </w:p>
    <w:p w14:paraId="585FB8CA"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Molinari, C., Alaya, Y., Pasti, L., Guarini, G., Dondi, M., &amp; Zanelli, C. (2023). Assessing white clays from Tabarka (Tunisia) in the production of porcelain stoneware tiles. </w:t>
      </w:r>
      <w:r>
        <w:rPr>
          <w:rFonts w:ascii="Times New Roman" w:eastAsia="Times New Roman" w:hAnsi="Times New Roman" w:cs="Times New Roman"/>
          <w:i/>
          <w:iCs/>
        </w:rPr>
        <w:t>Applied Clay Science</w:t>
      </w:r>
      <w:r>
        <w:rPr>
          <w:rFonts w:ascii="Times New Roman" w:eastAsia="Times New Roman" w:hAnsi="Times New Roman" w:cs="Times New Roman"/>
        </w:rPr>
        <w:t xml:space="preserve">, </w:t>
      </w:r>
      <w:r>
        <w:rPr>
          <w:rFonts w:ascii="Times New Roman" w:eastAsia="Times New Roman" w:hAnsi="Times New Roman" w:cs="Times New Roman"/>
          <w:i/>
          <w:iCs/>
        </w:rPr>
        <w:t>231</w:t>
      </w:r>
      <w:r>
        <w:rPr>
          <w:rFonts w:ascii="Times New Roman" w:eastAsia="Times New Roman" w:hAnsi="Times New Roman" w:cs="Times New Roman"/>
        </w:rPr>
        <w:t>. https://doi.org/10.1016/j.clay.2022.106741</w:t>
      </w:r>
    </w:p>
    <w:p w14:paraId="3FDF067E"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Mousavi, S. S., Bhojaraju, C., &amp; Ouellet-Plamondon, C. (2021). Clay as a Sustainable Binder for Concrete—A Review. </w:t>
      </w:r>
      <w:r>
        <w:rPr>
          <w:rFonts w:ascii="Times New Roman" w:eastAsia="Times New Roman" w:hAnsi="Times New Roman" w:cs="Times New Roman"/>
          <w:i/>
          <w:iCs/>
        </w:rPr>
        <w:t>Construction Materials</w:t>
      </w:r>
      <w:r>
        <w:rPr>
          <w:rFonts w:ascii="Times New Roman" w:eastAsia="Times New Roman" w:hAnsi="Times New Roman" w:cs="Times New Roman"/>
        </w:rPr>
        <w:t xml:space="preserve">, </w:t>
      </w:r>
      <w:r>
        <w:rPr>
          <w:rFonts w:ascii="Times New Roman" w:eastAsia="Times New Roman" w:hAnsi="Times New Roman" w:cs="Times New Roman"/>
          <w:i/>
          <w:iCs/>
        </w:rPr>
        <w:t>1</w:t>
      </w:r>
      <w:r>
        <w:rPr>
          <w:rFonts w:ascii="Times New Roman" w:eastAsia="Times New Roman" w:hAnsi="Times New Roman" w:cs="Times New Roman"/>
        </w:rPr>
        <w:t xml:space="preserve">(3), 134–168. </w:t>
      </w:r>
    </w:p>
    <w:p w14:paraId="6B410C0D" w14:textId="3614326B"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https://doi.org/10.3390/constrmater1030010</w:t>
      </w:r>
    </w:p>
    <w:p w14:paraId="3978336D"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Nesbitt, H. W., &amp; Young, G. M. (1984). Prediction of some weathering trends of plutonic and volcanic rocks based on thermodynamic and kinetic considerations. </w:t>
      </w:r>
      <w:r>
        <w:rPr>
          <w:rFonts w:ascii="Times New Roman" w:eastAsia="Times New Roman" w:hAnsi="Times New Roman" w:cs="Times New Roman"/>
          <w:i/>
          <w:iCs/>
        </w:rPr>
        <w:t xml:space="preserve">Geochimica et </w:t>
      </w:r>
      <w:r>
        <w:rPr>
          <w:rFonts w:ascii="Times New Roman" w:eastAsia="Times New Roman" w:hAnsi="Times New Roman" w:cs="Times New Roman"/>
          <w:i/>
          <w:iCs/>
        </w:rPr>
        <w:lastRenderedPageBreak/>
        <w:t>Cosmochimica Acta</w:t>
      </w:r>
      <w:r>
        <w:rPr>
          <w:rFonts w:ascii="Times New Roman" w:eastAsia="Times New Roman" w:hAnsi="Times New Roman" w:cs="Times New Roman"/>
        </w:rPr>
        <w:t xml:space="preserve">, </w:t>
      </w:r>
      <w:r>
        <w:rPr>
          <w:rFonts w:ascii="Times New Roman" w:eastAsia="Times New Roman" w:hAnsi="Times New Roman" w:cs="Times New Roman"/>
          <w:i/>
          <w:iCs/>
        </w:rPr>
        <w:t>48</w:t>
      </w:r>
      <w:r>
        <w:rPr>
          <w:rFonts w:ascii="Times New Roman" w:eastAsia="Times New Roman" w:hAnsi="Times New Roman" w:cs="Times New Roman"/>
        </w:rPr>
        <w:t>(7), 1523–1534. https://doi.org/https://doi.org/10.1016/0016-7037(84)90408-3</w:t>
      </w:r>
    </w:p>
    <w:p w14:paraId="5359BB3B"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Nguyen, T. T. T., &amp; Bui, H. B. (2024). Characterization and thermal behavior of some types of kaolin of different origin from Northern Vietnam. </w:t>
      </w:r>
      <w:r>
        <w:rPr>
          <w:rFonts w:ascii="Times New Roman" w:eastAsia="Times New Roman" w:hAnsi="Times New Roman" w:cs="Times New Roman"/>
          <w:i/>
          <w:iCs/>
        </w:rPr>
        <w:t>Mining Science and Technology (Russian Federation)</w:t>
      </w:r>
      <w:r>
        <w:rPr>
          <w:rFonts w:ascii="Times New Roman" w:eastAsia="Times New Roman" w:hAnsi="Times New Roman" w:cs="Times New Roman"/>
        </w:rPr>
        <w:t xml:space="preserve">, </w:t>
      </w:r>
      <w:r>
        <w:rPr>
          <w:rFonts w:ascii="Times New Roman" w:eastAsia="Times New Roman" w:hAnsi="Times New Roman" w:cs="Times New Roman"/>
          <w:i/>
          <w:iCs/>
        </w:rPr>
        <w:t>9</w:t>
      </w:r>
      <w:r>
        <w:rPr>
          <w:rFonts w:ascii="Times New Roman" w:eastAsia="Times New Roman" w:hAnsi="Times New Roman" w:cs="Times New Roman"/>
        </w:rPr>
        <w:t>(1), 30–40. https://doi.org/10.17073/2500-0632-2023-12-189</w:t>
      </w:r>
    </w:p>
    <w:p w14:paraId="3470B015"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Obrike S.E, Maina B.M, &amp; Ofoegbu C.O. (2019). Mineralogical, Geochemical, and Geotechnical Characteristics of the Maastrichtian Clay Member of the Lafia Formation in the Doma and Shabu Areas, Middle Benue Trough. </w:t>
      </w:r>
      <w:r>
        <w:rPr>
          <w:rFonts w:ascii="Times New Roman" w:eastAsia="Times New Roman" w:hAnsi="Times New Roman" w:cs="Times New Roman"/>
          <w:i/>
          <w:iCs/>
        </w:rPr>
        <w:t>Journal of Mining and Geology</w:t>
      </w:r>
      <w:r>
        <w:rPr>
          <w:rFonts w:ascii="Times New Roman" w:eastAsia="Times New Roman" w:hAnsi="Times New Roman" w:cs="Times New Roman"/>
        </w:rPr>
        <w:t xml:space="preserve">, </w:t>
      </w:r>
      <w:r>
        <w:rPr>
          <w:rFonts w:ascii="Times New Roman" w:eastAsia="Times New Roman" w:hAnsi="Times New Roman" w:cs="Times New Roman"/>
          <w:i/>
          <w:iCs/>
        </w:rPr>
        <w:t>55</w:t>
      </w:r>
      <w:r>
        <w:rPr>
          <w:rFonts w:ascii="Times New Roman" w:eastAsia="Times New Roman" w:hAnsi="Times New Roman" w:cs="Times New Roman"/>
        </w:rPr>
        <w:t>(2), 109–118.</w:t>
      </w:r>
    </w:p>
    <w:p w14:paraId="621FF3D0"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Offodile, M. E. (1976). The geology of the Middle Benue, Nigeria. In </w:t>
      </w:r>
      <w:r>
        <w:rPr>
          <w:rFonts w:ascii="Times New Roman" w:eastAsia="Times New Roman" w:hAnsi="Times New Roman" w:cs="Times New Roman"/>
          <w:i/>
          <w:iCs/>
        </w:rPr>
        <w:t>the geology of the Middle Benue, Nigeria</w:t>
      </w:r>
      <w:r>
        <w:rPr>
          <w:rFonts w:ascii="Times New Roman" w:eastAsia="Times New Roman" w:hAnsi="Times New Roman" w:cs="Times New Roman"/>
        </w:rPr>
        <w:t>. Diss. Uppsala: Univ.</w:t>
      </w:r>
    </w:p>
    <w:p w14:paraId="714D90D8"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Oha, I. A., Okonkwo, I. A., &amp; Dada, S. S. (2020). Wrench Tectonism and Intracontinental Basin Sedimentation: A Case Study of the Moku Sub-Basin, Upper Benue Trough, Nigeria. </w:t>
      </w:r>
      <w:r>
        <w:rPr>
          <w:rFonts w:ascii="Times New Roman" w:eastAsia="Times New Roman" w:hAnsi="Times New Roman" w:cs="Times New Roman"/>
          <w:i/>
          <w:iCs/>
        </w:rPr>
        <w:t>Journal of Geography and Geology</w:t>
      </w:r>
      <w:r>
        <w:rPr>
          <w:rFonts w:ascii="Times New Roman" w:eastAsia="Times New Roman" w:hAnsi="Times New Roman" w:cs="Times New Roman"/>
        </w:rPr>
        <w:t xml:space="preserve">, </w:t>
      </w:r>
      <w:r>
        <w:rPr>
          <w:rFonts w:ascii="Times New Roman" w:eastAsia="Times New Roman" w:hAnsi="Times New Roman" w:cs="Times New Roman"/>
          <w:i/>
          <w:iCs/>
        </w:rPr>
        <w:t>12</w:t>
      </w:r>
      <w:r>
        <w:rPr>
          <w:rFonts w:ascii="Times New Roman" w:eastAsia="Times New Roman" w:hAnsi="Times New Roman" w:cs="Times New Roman"/>
        </w:rPr>
        <w:t xml:space="preserve">(1), 65. </w:t>
      </w:r>
    </w:p>
    <w:p w14:paraId="7ED958C3" w14:textId="6A08DE85"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https://doi.org/10.5539/jgg.v12n1p65</w:t>
      </w:r>
    </w:p>
    <w:p w14:paraId="5F2515BB" w14:textId="25567C18"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Olade, M. A. (1975). Evolution of Nigeria’s Benue Trough (Aulacogen): a tectonic model. </w:t>
      </w:r>
      <w:r>
        <w:rPr>
          <w:rFonts w:ascii="Times New Roman" w:eastAsia="Times New Roman" w:hAnsi="Times New Roman" w:cs="Times New Roman"/>
          <w:i/>
          <w:iCs/>
        </w:rPr>
        <w:t>Geological Magazine</w:t>
      </w:r>
      <w:r>
        <w:rPr>
          <w:rFonts w:ascii="Times New Roman" w:eastAsia="Times New Roman" w:hAnsi="Times New Roman" w:cs="Times New Roman"/>
        </w:rPr>
        <w:t xml:space="preserve">, </w:t>
      </w:r>
      <w:r>
        <w:rPr>
          <w:rFonts w:ascii="Times New Roman" w:eastAsia="Times New Roman" w:hAnsi="Times New Roman" w:cs="Times New Roman"/>
          <w:i/>
          <w:iCs/>
        </w:rPr>
        <w:t>112</w:t>
      </w:r>
      <w:r>
        <w:rPr>
          <w:rFonts w:ascii="Times New Roman" w:eastAsia="Times New Roman" w:hAnsi="Times New Roman" w:cs="Times New Roman"/>
        </w:rPr>
        <w:t>(6), 575–583.</w:t>
      </w:r>
    </w:p>
    <w:p w14:paraId="732F27C0" w14:textId="14CC3980" w:rsidR="00D6590C" w:rsidRDefault="00661697" w:rsidP="00661697">
      <w:pPr>
        <w:widowControl w:val="0"/>
        <w:spacing w:after="0" w:line="360" w:lineRule="auto"/>
        <w:ind w:firstLine="480"/>
        <w:rPr>
          <w:rFonts w:ascii="Times New Roman" w:eastAsia="Times New Roman" w:hAnsi="Times New Roman" w:cs="Times New Roman"/>
        </w:rPr>
      </w:pPr>
      <w:hyperlink r:id="rId30" w:history="1">
        <w:r w:rsidRPr="00F00CE5">
          <w:rPr>
            <w:rStyle w:val="Hyperlink"/>
            <w:rFonts w:ascii="Times New Roman" w:eastAsia="Times New Roman" w:hAnsi="Times New Roman" w:cs="Times New Roman"/>
          </w:rPr>
          <w:t>https://doi.org/DOI</w:t>
        </w:r>
      </w:hyperlink>
      <w:r>
        <w:rPr>
          <w:rFonts w:ascii="Times New Roman" w:eastAsia="Times New Roman" w:hAnsi="Times New Roman" w:cs="Times New Roman"/>
        </w:rPr>
        <w:t>:</w:t>
      </w:r>
      <w:r w:rsidR="00D6590C">
        <w:rPr>
          <w:rFonts w:ascii="Times New Roman" w:eastAsia="Times New Roman" w:hAnsi="Times New Roman" w:cs="Times New Roman"/>
        </w:rPr>
        <w:t>10.1017/S001675680003898X</w:t>
      </w:r>
    </w:p>
    <w:p w14:paraId="7314D4C7"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Olakunle Osinowo, O., Abdulmumin, Y., &amp; Faweya, T. V. (2023). Analysis of high-resolution airborne-magnetic data for hydrocarbon generation and preservation potential evaluation of Yola sub-basins, northern Benue Trough, northeastern Nigeria. </w:t>
      </w:r>
      <w:r>
        <w:rPr>
          <w:rFonts w:ascii="Times New Roman" w:eastAsia="Times New Roman" w:hAnsi="Times New Roman" w:cs="Times New Roman"/>
          <w:i/>
          <w:iCs/>
        </w:rPr>
        <w:t>Energy Geoscience</w:t>
      </w:r>
      <w:r>
        <w:rPr>
          <w:rFonts w:ascii="Times New Roman" w:eastAsia="Times New Roman" w:hAnsi="Times New Roman" w:cs="Times New Roman"/>
        </w:rPr>
        <w:t xml:space="preserve">, </w:t>
      </w:r>
      <w:r>
        <w:rPr>
          <w:rFonts w:ascii="Times New Roman" w:eastAsia="Times New Roman" w:hAnsi="Times New Roman" w:cs="Times New Roman"/>
          <w:i/>
          <w:iCs/>
        </w:rPr>
        <w:t>4</w:t>
      </w:r>
      <w:r>
        <w:rPr>
          <w:rFonts w:ascii="Times New Roman" w:eastAsia="Times New Roman" w:hAnsi="Times New Roman" w:cs="Times New Roman"/>
        </w:rPr>
        <w:t>(1), 33–41. https://doi.org/10.1016/j.engeos.2022.08.002</w:t>
      </w:r>
    </w:p>
    <w:p w14:paraId="0D86DC21"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Onyekuru, S. O., Iwuoha, P. O., Iwuagwu, C. J., Nwozor, K. K., &amp; Opara, K. D. (2018). Mineralogical and geochemical properties of clay deposits in parts of southeastern Nigeria. </w:t>
      </w:r>
      <w:r>
        <w:rPr>
          <w:rFonts w:ascii="Times New Roman" w:eastAsia="Times New Roman" w:hAnsi="Times New Roman" w:cs="Times New Roman"/>
          <w:i/>
          <w:iCs/>
        </w:rPr>
        <w:t>International Journal of Physical Sciences</w:t>
      </w:r>
      <w:r>
        <w:rPr>
          <w:rFonts w:ascii="Times New Roman" w:eastAsia="Times New Roman" w:hAnsi="Times New Roman" w:cs="Times New Roman"/>
        </w:rPr>
        <w:t xml:space="preserve">, </w:t>
      </w:r>
      <w:r>
        <w:rPr>
          <w:rFonts w:ascii="Times New Roman" w:eastAsia="Times New Roman" w:hAnsi="Times New Roman" w:cs="Times New Roman"/>
          <w:i/>
          <w:iCs/>
        </w:rPr>
        <w:t>13</w:t>
      </w:r>
      <w:r>
        <w:rPr>
          <w:rFonts w:ascii="Times New Roman" w:eastAsia="Times New Roman" w:hAnsi="Times New Roman" w:cs="Times New Roman"/>
        </w:rPr>
        <w:t xml:space="preserve">(14), 217–229. </w:t>
      </w:r>
    </w:p>
    <w:p w14:paraId="0133C305" w14:textId="01E37186"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https://doi.org/10.5897/ijps2018.4733</w:t>
      </w:r>
    </w:p>
    <w:p w14:paraId="607D001D" w14:textId="77777777" w:rsidR="0066169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Oumar, K. O., Gilbert François, N. N., Bertrand, M. M., Nathanael, T., Constantin, B. E., Simon, M. J., &amp; Jacques, E. (2022). Mineralogical and Geochemical Characterization and Physicochemical Properties of Kaolinitic Clays of the Eastern Part of the Douala Sub-Basin, Cameroon, Central Africa. </w:t>
      </w:r>
      <w:r>
        <w:rPr>
          <w:rFonts w:ascii="Times New Roman" w:eastAsia="Times New Roman" w:hAnsi="Times New Roman" w:cs="Times New Roman"/>
          <w:i/>
          <w:iCs/>
        </w:rPr>
        <w:t>Applied Sciences</w:t>
      </w:r>
      <w:r>
        <w:rPr>
          <w:rFonts w:ascii="Times New Roman" w:eastAsia="Times New Roman" w:hAnsi="Times New Roman" w:cs="Times New Roman"/>
        </w:rPr>
        <w:t xml:space="preserve">, </w:t>
      </w:r>
      <w:r>
        <w:rPr>
          <w:rFonts w:ascii="Times New Roman" w:eastAsia="Times New Roman" w:hAnsi="Times New Roman" w:cs="Times New Roman"/>
          <w:i/>
          <w:iCs/>
        </w:rPr>
        <w:t>12</w:t>
      </w:r>
      <w:r>
        <w:rPr>
          <w:rFonts w:ascii="Times New Roman" w:eastAsia="Times New Roman" w:hAnsi="Times New Roman" w:cs="Times New Roman"/>
        </w:rPr>
        <w:t xml:space="preserve">(18). </w:t>
      </w:r>
    </w:p>
    <w:p w14:paraId="39CD3982" w14:textId="09B7852F" w:rsidR="00D6590C" w:rsidRDefault="00D6590C" w:rsidP="0066169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https://doi.org/10.3390/app12189143</w:t>
      </w:r>
    </w:p>
    <w:p w14:paraId="11240DE4"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Patrick, N. O., Fadele, S. I., &amp; Adegoke, I. (2013). Stratigraphic report of the Middle Benue Trough, Nigeria: Insights from petrographic and structural evaluation of Abuni and environs, part of Late Albian-Cenomanian Awe and Keana formations. </w:t>
      </w:r>
      <w:r>
        <w:rPr>
          <w:rFonts w:ascii="Times New Roman" w:eastAsia="Times New Roman" w:hAnsi="Times New Roman" w:cs="Times New Roman"/>
          <w:i/>
          <w:iCs/>
        </w:rPr>
        <w:t xml:space="preserve">The Pacific </w:t>
      </w:r>
      <w:r>
        <w:rPr>
          <w:rFonts w:ascii="Times New Roman" w:eastAsia="Times New Roman" w:hAnsi="Times New Roman" w:cs="Times New Roman"/>
          <w:i/>
          <w:iCs/>
        </w:rPr>
        <w:lastRenderedPageBreak/>
        <w:t>Journal of Science and Technology</w:t>
      </w:r>
      <w:r>
        <w:rPr>
          <w:rFonts w:ascii="Times New Roman" w:eastAsia="Times New Roman" w:hAnsi="Times New Roman" w:cs="Times New Roman"/>
        </w:rPr>
        <w:t xml:space="preserve">, </w:t>
      </w:r>
      <w:r>
        <w:rPr>
          <w:rFonts w:ascii="Times New Roman" w:eastAsia="Times New Roman" w:hAnsi="Times New Roman" w:cs="Times New Roman"/>
          <w:i/>
          <w:iCs/>
        </w:rPr>
        <w:t>14</w:t>
      </w:r>
      <w:r>
        <w:rPr>
          <w:rFonts w:ascii="Times New Roman" w:eastAsia="Times New Roman" w:hAnsi="Times New Roman" w:cs="Times New Roman"/>
        </w:rPr>
        <w:t>(1), 557–570.</w:t>
      </w:r>
    </w:p>
    <w:p w14:paraId="1D037D60" w14:textId="77777777" w:rsidR="006B76D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Peys, A., Isteri, V., Yliniemi, J., Yorkshire, A. S., Lemougna, P. N., Utton, C., Provis, J. L., Snellings, R., &amp; Hanein, T. (2022). Sustainable iron-rich cements: Raw material sources and binder types. </w:t>
      </w:r>
      <w:r>
        <w:rPr>
          <w:rFonts w:ascii="Times New Roman" w:eastAsia="Times New Roman" w:hAnsi="Times New Roman" w:cs="Times New Roman"/>
          <w:i/>
          <w:iCs/>
        </w:rPr>
        <w:t>Cement and Concrete Research</w:t>
      </w:r>
      <w:r>
        <w:rPr>
          <w:rFonts w:ascii="Times New Roman" w:eastAsia="Times New Roman" w:hAnsi="Times New Roman" w:cs="Times New Roman"/>
        </w:rPr>
        <w:t xml:space="preserve">, </w:t>
      </w:r>
      <w:r>
        <w:rPr>
          <w:rFonts w:ascii="Times New Roman" w:eastAsia="Times New Roman" w:hAnsi="Times New Roman" w:cs="Times New Roman"/>
          <w:i/>
          <w:iCs/>
        </w:rPr>
        <w:t>157</w:t>
      </w:r>
      <w:r>
        <w:rPr>
          <w:rFonts w:ascii="Times New Roman" w:eastAsia="Times New Roman" w:hAnsi="Times New Roman" w:cs="Times New Roman"/>
        </w:rPr>
        <w:t xml:space="preserve">. </w:t>
      </w:r>
    </w:p>
    <w:p w14:paraId="2F35A4B8" w14:textId="6BC26E04" w:rsidR="00D6590C" w:rsidRDefault="00D6590C" w:rsidP="006B76D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https://doi.org/10.1016/j.cemconres.2022.106834</w:t>
      </w:r>
    </w:p>
    <w:p w14:paraId="19ED5255" w14:textId="77777777" w:rsidR="006B76D7"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Saikia, N. J., Bharali, D. J., Sengupta, P., Bordoloi, D., Goswamee, R. L., Saikia, P. C., &amp; Borthakur, P. C. (2003). Characterization, beneficiation, and utilization of a kaolinite clay from Assam, India. </w:t>
      </w:r>
      <w:r>
        <w:rPr>
          <w:rFonts w:ascii="Times New Roman" w:eastAsia="Times New Roman" w:hAnsi="Times New Roman" w:cs="Times New Roman"/>
          <w:i/>
          <w:iCs/>
        </w:rPr>
        <w:t>Applied Clay Science</w:t>
      </w:r>
      <w:r>
        <w:rPr>
          <w:rFonts w:ascii="Times New Roman" w:eastAsia="Times New Roman" w:hAnsi="Times New Roman" w:cs="Times New Roman"/>
        </w:rPr>
        <w:t xml:space="preserve">, </w:t>
      </w:r>
      <w:r>
        <w:rPr>
          <w:rFonts w:ascii="Times New Roman" w:eastAsia="Times New Roman" w:hAnsi="Times New Roman" w:cs="Times New Roman"/>
          <w:i/>
          <w:iCs/>
        </w:rPr>
        <w:t>24</w:t>
      </w:r>
      <w:r>
        <w:rPr>
          <w:rFonts w:ascii="Times New Roman" w:eastAsia="Times New Roman" w:hAnsi="Times New Roman" w:cs="Times New Roman"/>
        </w:rPr>
        <w:t xml:space="preserve">(1–2), 93–103. </w:t>
      </w:r>
    </w:p>
    <w:p w14:paraId="37FCE5DC" w14:textId="29ED9156" w:rsidR="00D6590C" w:rsidRDefault="00D6590C" w:rsidP="006B76D7">
      <w:pPr>
        <w:widowControl w:val="0"/>
        <w:spacing w:after="0" w:line="360" w:lineRule="auto"/>
        <w:ind w:left="480"/>
        <w:rPr>
          <w:rFonts w:ascii="Times New Roman" w:eastAsia="Times New Roman" w:hAnsi="Times New Roman" w:cs="Times New Roman"/>
        </w:rPr>
      </w:pPr>
      <w:r>
        <w:rPr>
          <w:rFonts w:ascii="Times New Roman" w:eastAsia="Times New Roman" w:hAnsi="Times New Roman" w:cs="Times New Roman"/>
        </w:rPr>
        <w:t>https://doi.org/10.1016/S0169-1317(03)00151-0</w:t>
      </w:r>
    </w:p>
    <w:p w14:paraId="7C0AF98B"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Sam-Tunsa Alarba, A., Epey, N., Nana, A., Tome, S., Mache, J. R., &amp; Nchare, M. (2022). Mineralogical and physicochemical characterization of clayey materials from Meiganga (Adamawa-Cameroon): potential application in traditional ceramic. </w:t>
      </w:r>
      <w:r>
        <w:rPr>
          <w:rFonts w:ascii="Times New Roman" w:eastAsia="Times New Roman" w:hAnsi="Times New Roman" w:cs="Times New Roman"/>
          <w:i/>
          <w:iCs/>
        </w:rPr>
        <w:t>Journal of Building Pathology and Rehabilitation</w:t>
      </w:r>
      <w:r>
        <w:rPr>
          <w:rFonts w:ascii="Times New Roman" w:eastAsia="Times New Roman" w:hAnsi="Times New Roman" w:cs="Times New Roman"/>
        </w:rPr>
        <w:t xml:space="preserve">, </w:t>
      </w:r>
      <w:r>
        <w:rPr>
          <w:rFonts w:ascii="Times New Roman" w:eastAsia="Times New Roman" w:hAnsi="Times New Roman" w:cs="Times New Roman"/>
          <w:i/>
          <w:iCs/>
        </w:rPr>
        <w:t>7</w:t>
      </w:r>
      <w:r>
        <w:rPr>
          <w:rFonts w:ascii="Times New Roman" w:eastAsia="Times New Roman" w:hAnsi="Times New Roman" w:cs="Times New Roman"/>
        </w:rPr>
        <w:t>(1). https://doi.org/10.1007/s41024-022-00203-z</w:t>
      </w:r>
    </w:p>
    <w:p w14:paraId="4C14346B"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Sawadogo, M., Seynou, M., Zerbo, L., Sorgho, B., Laure Lecomte-Nana, G., Blanchart, P., &amp; Ouédraogo, R. (2020). Formulation of Clay Refractory Bricks: Influence of the Nature of Chamotte and the Alumina Content in the Clay. </w:t>
      </w:r>
      <w:r>
        <w:rPr>
          <w:rFonts w:ascii="Times New Roman" w:eastAsia="Times New Roman" w:hAnsi="Times New Roman" w:cs="Times New Roman"/>
          <w:i/>
          <w:iCs/>
        </w:rPr>
        <w:t>Advances in Materials</w:t>
      </w:r>
      <w:r>
        <w:rPr>
          <w:rFonts w:ascii="Times New Roman" w:eastAsia="Times New Roman" w:hAnsi="Times New Roman" w:cs="Times New Roman"/>
        </w:rPr>
        <w:t xml:space="preserve">, </w:t>
      </w:r>
      <w:r>
        <w:rPr>
          <w:rFonts w:ascii="Times New Roman" w:eastAsia="Times New Roman" w:hAnsi="Times New Roman" w:cs="Times New Roman"/>
          <w:i/>
          <w:iCs/>
        </w:rPr>
        <w:t>9</w:t>
      </w:r>
      <w:r>
        <w:rPr>
          <w:rFonts w:ascii="Times New Roman" w:eastAsia="Times New Roman" w:hAnsi="Times New Roman" w:cs="Times New Roman"/>
        </w:rPr>
        <w:t>(4), 59. https://doi.org/10.11648/j.am.20200904.11</w:t>
      </w:r>
    </w:p>
    <w:p w14:paraId="3E2BCE81"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Shepard, F. P. (1954). Nomenclature Based on Sand-silt-clay Ratios. </w:t>
      </w:r>
      <w:r>
        <w:rPr>
          <w:rFonts w:ascii="Times New Roman" w:eastAsia="Times New Roman" w:hAnsi="Times New Roman" w:cs="Times New Roman"/>
          <w:i/>
          <w:iCs/>
        </w:rPr>
        <w:t>Journal of Sedimentary Research</w:t>
      </w:r>
      <w:r>
        <w:rPr>
          <w:rFonts w:ascii="Times New Roman" w:eastAsia="Times New Roman" w:hAnsi="Times New Roman" w:cs="Times New Roman"/>
        </w:rPr>
        <w:t xml:space="preserve">, </w:t>
      </w:r>
      <w:r>
        <w:rPr>
          <w:rFonts w:ascii="Times New Roman" w:eastAsia="Times New Roman" w:hAnsi="Times New Roman" w:cs="Times New Roman"/>
          <w:i/>
          <w:iCs/>
        </w:rPr>
        <w:t>24</w:t>
      </w:r>
      <w:r>
        <w:rPr>
          <w:rFonts w:ascii="Times New Roman" w:eastAsia="Times New Roman" w:hAnsi="Times New Roman" w:cs="Times New Roman"/>
        </w:rPr>
        <w:t>, 151–158. https://api.semanticscholar.org/CorpusID:129806833</w:t>
      </w:r>
    </w:p>
    <w:p w14:paraId="319DF857"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Singh, N. B. (2022). Clay and Clay Minerals in the Construction Industry. </w:t>
      </w:r>
      <w:r>
        <w:rPr>
          <w:rFonts w:ascii="Times New Roman" w:eastAsia="Times New Roman" w:hAnsi="Times New Roman" w:cs="Times New Roman"/>
          <w:i/>
          <w:iCs/>
        </w:rPr>
        <w:t>Minerals</w:t>
      </w:r>
      <w:r>
        <w:rPr>
          <w:rFonts w:ascii="Times New Roman" w:eastAsia="Times New Roman" w:hAnsi="Times New Roman" w:cs="Times New Roman"/>
        </w:rPr>
        <w:t xml:space="preserve">, </w:t>
      </w:r>
      <w:r>
        <w:rPr>
          <w:rFonts w:ascii="Times New Roman" w:eastAsia="Times New Roman" w:hAnsi="Times New Roman" w:cs="Times New Roman"/>
          <w:i/>
          <w:iCs/>
        </w:rPr>
        <w:t>12</w:t>
      </w:r>
      <w:r>
        <w:rPr>
          <w:rFonts w:ascii="Times New Roman" w:eastAsia="Times New Roman" w:hAnsi="Times New Roman" w:cs="Times New Roman"/>
        </w:rPr>
        <w:t>(3). https://doi.org/10.3390/min12030301</w:t>
      </w:r>
    </w:p>
    <w:p w14:paraId="144CF467"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Tsozué, D., Nzeukou, A. N., Kagonbé, B. P., Madi, A. B., Mache, J. R., Bitom, D. L., &amp; Fagel, N. (2022). Genesis and assessment of clay materials' suitability for earthenware production in northern Cameroon. </w:t>
      </w:r>
      <w:r>
        <w:rPr>
          <w:rFonts w:ascii="Times New Roman" w:eastAsia="Times New Roman" w:hAnsi="Times New Roman" w:cs="Times New Roman"/>
          <w:i/>
          <w:iCs/>
        </w:rPr>
        <w:t>Arabian Journal of Geosciences</w:t>
      </w:r>
      <w:r>
        <w:rPr>
          <w:rFonts w:ascii="Times New Roman" w:eastAsia="Times New Roman" w:hAnsi="Times New Roman" w:cs="Times New Roman"/>
        </w:rPr>
        <w:t xml:space="preserve">, </w:t>
      </w:r>
      <w:r>
        <w:rPr>
          <w:rFonts w:ascii="Times New Roman" w:eastAsia="Times New Roman" w:hAnsi="Times New Roman" w:cs="Times New Roman"/>
          <w:i/>
          <w:iCs/>
        </w:rPr>
        <w:t>15</w:t>
      </w:r>
      <w:r>
        <w:rPr>
          <w:rFonts w:ascii="Times New Roman" w:eastAsia="Times New Roman" w:hAnsi="Times New Roman" w:cs="Times New Roman"/>
        </w:rPr>
        <w:t>(16). https://doi.org/10.1007/s12517-022-10603-7</w:t>
      </w:r>
    </w:p>
    <w:p w14:paraId="6748E23E"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Winkler, H. G. F. (1954). Bedeutung der Korngrößenverteilung und des Mineralbestandes von Tonen r die Herstellung grobkeramischer Erzeugnisse. </w:t>
      </w:r>
      <w:r>
        <w:rPr>
          <w:rFonts w:ascii="Times New Roman" w:eastAsia="Times New Roman" w:hAnsi="Times New Roman" w:cs="Times New Roman"/>
          <w:i/>
          <w:iCs/>
        </w:rPr>
        <w:t>Ber. Dtsch. Keram. Ges.</w:t>
      </w:r>
      <w:r>
        <w:rPr>
          <w:rFonts w:ascii="Times New Roman" w:eastAsia="Times New Roman" w:hAnsi="Times New Roman" w:cs="Times New Roman"/>
        </w:rPr>
        <w:t xml:space="preserve">, </w:t>
      </w:r>
      <w:r>
        <w:rPr>
          <w:rFonts w:ascii="Times New Roman" w:eastAsia="Times New Roman" w:hAnsi="Times New Roman" w:cs="Times New Roman"/>
          <w:i/>
          <w:iCs/>
        </w:rPr>
        <w:t>31</w:t>
      </w:r>
      <w:r>
        <w:rPr>
          <w:rFonts w:ascii="Times New Roman" w:eastAsia="Times New Roman" w:hAnsi="Times New Roman" w:cs="Times New Roman"/>
        </w:rPr>
        <w:t>, 337–343.</w:t>
      </w:r>
    </w:p>
    <w:p w14:paraId="721C41A8"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Yenne, E. Y., Green, C., &amp; Torvela, T. (2024). Implications to basin evolution from the interpretation of superficial and buried geological features from remote sensing and magnetic data sets, Lower and Middle Benue Trough, Nigeria. </w:t>
      </w:r>
      <w:r>
        <w:rPr>
          <w:rFonts w:ascii="Times New Roman" w:eastAsia="Times New Roman" w:hAnsi="Times New Roman" w:cs="Times New Roman"/>
          <w:i/>
          <w:iCs/>
        </w:rPr>
        <w:t>Results in Earth Sciences</w:t>
      </w:r>
      <w:r>
        <w:rPr>
          <w:rFonts w:ascii="Times New Roman" w:eastAsia="Times New Roman" w:hAnsi="Times New Roman" w:cs="Times New Roman"/>
        </w:rPr>
        <w:t xml:space="preserve">, </w:t>
      </w:r>
      <w:r>
        <w:rPr>
          <w:rFonts w:ascii="Times New Roman" w:eastAsia="Times New Roman" w:hAnsi="Times New Roman" w:cs="Times New Roman"/>
          <w:i/>
          <w:iCs/>
        </w:rPr>
        <w:t>2</w:t>
      </w:r>
      <w:r>
        <w:rPr>
          <w:rFonts w:ascii="Times New Roman" w:eastAsia="Times New Roman" w:hAnsi="Times New Roman" w:cs="Times New Roman"/>
        </w:rPr>
        <w:t>, 100029. https://doi.org/10.1016/j.rines.2024.100029</w:t>
      </w:r>
    </w:p>
    <w:p w14:paraId="410FC1C4" w14:textId="77777777" w:rsidR="00D6590C" w:rsidRDefault="00D6590C" w:rsidP="00D6590C">
      <w:pPr>
        <w:widowControl w:val="0"/>
        <w:spacing w:after="0" w:line="360" w:lineRule="auto"/>
        <w:ind w:left="480" w:hanging="480"/>
        <w:rPr>
          <w:rFonts w:ascii="Times New Roman" w:eastAsia="Times New Roman" w:hAnsi="Times New Roman" w:cs="Times New Roman"/>
        </w:rPr>
      </w:pPr>
      <w:r>
        <w:rPr>
          <w:rFonts w:ascii="Times New Roman" w:eastAsia="Times New Roman" w:hAnsi="Times New Roman" w:cs="Times New Roman"/>
        </w:rPr>
        <w:t xml:space="preserve">Yuan, G., Cao, Y., Schulz, H. M., Hao, F., Gluyas, J., Liu, K., Yang, T., Wang, Y., Xi, K., &amp; Li, F. (2019). A review of feldspar alteration and its geological significance in </w:t>
      </w:r>
      <w:r>
        <w:rPr>
          <w:rFonts w:ascii="Times New Roman" w:eastAsia="Times New Roman" w:hAnsi="Times New Roman" w:cs="Times New Roman"/>
        </w:rPr>
        <w:lastRenderedPageBreak/>
        <w:t xml:space="preserve">sedimentary basins: From shallow aquifers to deep hydrocarbon reservoirs. </w:t>
      </w:r>
      <w:r>
        <w:rPr>
          <w:rFonts w:ascii="Times New Roman" w:eastAsia="Times New Roman" w:hAnsi="Times New Roman" w:cs="Times New Roman"/>
          <w:i/>
          <w:iCs/>
        </w:rPr>
        <w:t>Earth-Science Reviews</w:t>
      </w:r>
      <w:r>
        <w:rPr>
          <w:rFonts w:ascii="Times New Roman" w:eastAsia="Times New Roman" w:hAnsi="Times New Roman" w:cs="Times New Roman"/>
        </w:rPr>
        <w:t xml:space="preserve">, </w:t>
      </w:r>
      <w:r>
        <w:rPr>
          <w:rFonts w:ascii="Times New Roman" w:eastAsia="Times New Roman" w:hAnsi="Times New Roman" w:cs="Times New Roman"/>
          <w:i/>
          <w:iCs/>
        </w:rPr>
        <w:t>191</w:t>
      </w:r>
      <w:r>
        <w:rPr>
          <w:rFonts w:ascii="Times New Roman" w:eastAsia="Times New Roman" w:hAnsi="Times New Roman" w:cs="Times New Roman"/>
        </w:rPr>
        <w:t>, 114–140. https://doi.org/10.1016/j.earscirev.2019.02.004</w:t>
      </w:r>
    </w:p>
    <w:p w14:paraId="70B6007E" w14:textId="097E8EC2" w:rsidR="004F08AC" w:rsidRPr="00A85B6B" w:rsidRDefault="00855F90" w:rsidP="004F08AC">
      <w:pPr>
        <w:tabs>
          <w:tab w:val="left" w:pos="567"/>
        </w:tabs>
        <w:spacing w:after="0"/>
        <w:rPr>
          <w:sz w:val="20"/>
          <w:szCs w:val="20"/>
          <w:lang w:val="en-MY"/>
        </w:rPr>
      </w:pPr>
      <w:r>
        <w:rPr>
          <w:sz w:val="20"/>
          <w:szCs w:val="20"/>
        </w:rPr>
        <w:t>.</w:t>
      </w:r>
    </w:p>
    <w:sectPr w:rsidR="004F08AC" w:rsidRPr="00A85B6B" w:rsidSect="00CF1176">
      <w:headerReference w:type="even" r:id="rId31"/>
      <w:headerReference w:type="default" r:id="rId32"/>
      <w:footerReference w:type="default" r:id="rId33"/>
      <w:headerReference w:type="first" r:id="rId34"/>
      <w:footerReference w:type="first" r:id="rId35"/>
      <w:pgSz w:w="11907" w:h="16840"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914B8" w14:textId="77777777" w:rsidR="0069442B" w:rsidRDefault="0069442B" w:rsidP="004E2922">
      <w:pPr>
        <w:spacing w:after="0" w:line="240" w:lineRule="auto"/>
      </w:pPr>
      <w:r>
        <w:separator/>
      </w:r>
    </w:p>
  </w:endnote>
  <w:endnote w:type="continuationSeparator" w:id="0">
    <w:p w14:paraId="0E908121" w14:textId="77777777" w:rsidR="0069442B" w:rsidRDefault="0069442B" w:rsidP="004E2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7DF26E7-4D8D-46BE-B247-DDA90BC0679C}"/>
    <w:embedBold r:id="rId2" w:fontKey="{9BA34A30-9094-4ECA-B4BF-D46A99319FAB}"/>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3" w:fontKey="{EF9459F7-5691-4E64-9D98-D827DEDFA800}"/>
    <w:embedItalic r:id="rId4" w:fontKey="{DA39FF22-BA05-4389-8972-FBA5B3DCB54E}"/>
  </w:font>
  <w:font w:name="Calibri Light">
    <w:panose1 w:val="020F0302020204030204"/>
    <w:charset w:val="00"/>
    <w:family w:val="swiss"/>
    <w:pitch w:val="variable"/>
    <w:sig w:usb0="E4002EFF" w:usb1="C200247B" w:usb2="00000009" w:usb3="00000000" w:csb0="000001FF" w:csb1="00000000"/>
    <w:embedRegular r:id="rId5" w:fontKey="{3A5BAD57-0081-44CB-A618-2FC1F62F56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2E349" w14:textId="77777777" w:rsidR="00D6590C" w:rsidRDefault="00D6590C">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74B61D51" w14:textId="77777777" w:rsidR="00D6590C" w:rsidRDefault="00D6590C">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68F57" w14:textId="6FF290F2" w:rsidR="00E87840" w:rsidRPr="00763767" w:rsidRDefault="00E87840" w:rsidP="00E87840">
    <w:pPr>
      <w:spacing w:after="0" w:line="240" w:lineRule="auto"/>
      <w:rPr>
        <w:sz w:val="16"/>
        <w:szCs w:val="16"/>
      </w:rPr>
    </w:pPr>
    <w:r w:rsidRPr="00763767">
      <w:rPr>
        <w:sz w:val="16"/>
        <w:szCs w:val="16"/>
      </w:rPr>
      <w:t xml:space="preserve">Received </w:t>
    </w:r>
    <w:r>
      <w:rPr>
        <w:sz w:val="16"/>
        <w:szCs w:val="16"/>
      </w:rPr>
      <w:t xml:space="preserve">February </w:t>
    </w:r>
    <w:r w:rsidR="00546548">
      <w:rPr>
        <w:sz w:val="16"/>
        <w:szCs w:val="16"/>
      </w:rPr>
      <w:t>12</w:t>
    </w:r>
    <w:r>
      <w:rPr>
        <w:sz w:val="16"/>
        <w:szCs w:val="16"/>
      </w:rPr>
      <w:t>, 2026</w:t>
    </w:r>
    <w:r w:rsidRPr="00763767">
      <w:rPr>
        <w:sz w:val="16"/>
        <w:szCs w:val="16"/>
      </w:rPr>
      <w:tab/>
    </w:r>
    <w:r>
      <w:rPr>
        <w:sz w:val="16"/>
        <w:szCs w:val="16"/>
      </w:rPr>
      <w:tab/>
    </w:r>
    <w:r>
      <w:rPr>
        <w:sz w:val="16"/>
        <w:szCs w:val="16"/>
      </w:rPr>
      <w:tab/>
    </w:r>
    <w:r w:rsidRPr="00763767">
      <w:rPr>
        <w:sz w:val="16"/>
        <w:szCs w:val="16"/>
      </w:rPr>
      <w:t xml:space="preserve">Revised </w:t>
    </w:r>
    <w:r w:rsidR="003946C9">
      <w:rPr>
        <w:sz w:val="16"/>
        <w:szCs w:val="16"/>
      </w:rPr>
      <w:t>April</w:t>
    </w:r>
    <w:r w:rsidRPr="00763767">
      <w:rPr>
        <w:sz w:val="16"/>
        <w:szCs w:val="16"/>
      </w:rPr>
      <w:t xml:space="preserve"> </w:t>
    </w:r>
    <w:r w:rsidR="003946C9">
      <w:rPr>
        <w:sz w:val="16"/>
        <w:szCs w:val="16"/>
      </w:rPr>
      <w:t>26</w:t>
    </w:r>
    <w:r w:rsidRPr="00763767">
      <w:rPr>
        <w:sz w:val="16"/>
        <w:szCs w:val="16"/>
      </w:rPr>
      <w:t xml:space="preserve">, </w:t>
    </w:r>
    <w:r>
      <w:rPr>
        <w:sz w:val="16"/>
        <w:szCs w:val="16"/>
      </w:rPr>
      <w:t>2026</w:t>
    </w:r>
    <w:r>
      <w:rPr>
        <w:sz w:val="16"/>
        <w:szCs w:val="16"/>
      </w:rPr>
      <w:tab/>
      <w:t xml:space="preserve">    </w:t>
    </w:r>
    <w:r>
      <w:rPr>
        <w:sz w:val="16"/>
        <w:szCs w:val="16"/>
      </w:rPr>
      <w:tab/>
    </w:r>
    <w:r w:rsidRPr="00763767">
      <w:rPr>
        <w:sz w:val="16"/>
        <w:szCs w:val="16"/>
      </w:rPr>
      <w:tab/>
    </w:r>
    <w:r>
      <w:rPr>
        <w:sz w:val="16"/>
        <w:szCs w:val="16"/>
      </w:rPr>
      <w:t xml:space="preserve">    </w:t>
    </w:r>
    <w:r w:rsidRPr="00763767">
      <w:rPr>
        <w:sz w:val="16"/>
        <w:szCs w:val="16"/>
      </w:rPr>
      <w:t xml:space="preserve">Accepted </w:t>
    </w:r>
    <w:r w:rsidR="00546548">
      <w:rPr>
        <w:sz w:val="16"/>
        <w:szCs w:val="16"/>
      </w:rPr>
      <w:t>June</w:t>
    </w:r>
    <w:r w:rsidRPr="00763767">
      <w:rPr>
        <w:sz w:val="16"/>
        <w:szCs w:val="16"/>
      </w:rPr>
      <w:t xml:space="preserve"> </w:t>
    </w:r>
    <w:r w:rsidR="00546548">
      <w:rPr>
        <w:sz w:val="16"/>
        <w:szCs w:val="16"/>
      </w:rPr>
      <w:t>28</w:t>
    </w:r>
    <w:r w:rsidRPr="00763767">
      <w:rPr>
        <w:sz w:val="16"/>
        <w:szCs w:val="16"/>
      </w:rPr>
      <w:t xml:space="preserve">, </w:t>
    </w:r>
    <w:r>
      <w:rPr>
        <w:sz w:val="16"/>
        <w:szCs w:val="16"/>
      </w:rPr>
      <w:t>2026</w:t>
    </w:r>
  </w:p>
  <w:p w14:paraId="3175E61B" w14:textId="77777777" w:rsidR="00E87840" w:rsidRPr="00FC54DD" w:rsidRDefault="00E87840" w:rsidP="00E87840">
    <w:pPr>
      <w:spacing w:after="0" w:line="240" w:lineRule="auto"/>
      <w:rPr>
        <w:rFonts w:ascii="Times New Roman" w:hAnsi="Times New Roman" w:cs="Times New Roman"/>
        <w:sz w:val="16"/>
        <w:szCs w:val="16"/>
      </w:rPr>
    </w:pPr>
    <w:r w:rsidRPr="00FC54DD">
      <w:rPr>
        <w:rFonts w:ascii="Times New Roman" w:hAnsi="Times New Roman" w:cs="Times New Roman"/>
        <w:sz w:val="16"/>
        <w:szCs w:val="16"/>
        <w:bdr w:val="none" w:sz="0" w:space="0" w:color="auto" w:frame="1"/>
        <w:shd w:val="clear" w:color="auto" w:fill="FFFFFF"/>
      </w:rPr>
      <w:t>EISSN: </w:t>
    </w:r>
    <w:r w:rsidRPr="00FC54DD">
      <w:rPr>
        <w:rFonts w:ascii="Times New Roman" w:hAnsi="Times New Roman" w:cs="Times New Roman"/>
        <w:color w:val="646464"/>
        <w:sz w:val="16"/>
        <w:szCs w:val="16"/>
        <w:shd w:val="clear" w:color="auto" w:fill="FFFFFF"/>
      </w:rPr>
      <w:t>3121-9292</w:t>
    </w:r>
    <w:r w:rsidRPr="00FC54DD">
      <w:rPr>
        <w:rFonts w:ascii="Times New Roman" w:hAnsi="Times New Roman" w:cs="Times New Roman"/>
        <w:color w:val="646464"/>
        <w:sz w:val="16"/>
        <w:szCs w:val="16"/>
        <w:shd w:val="clear" w:color="auto" w:fill="FFFFFF"/>
      </w:rPr>
      <w:tab/>
    </w:r>
    <w:r w:rsidRPr="00FC54DD">
      <w:rPr>
        <w:rFonts w:ascii="Times New Roman" w:hAnsi="Times New Roman" w:cs="Times New Roman"/>
        <w:sz w:val="16"/>
        <w:szCs w:val="16"/>
        <w:bdr w:val="none" w:sz="0" w:space="0" w:color="auto" w:frame="1"/>
        <w:shd w:val="clear" w:color="auto" w:fill="FFFFFF"/>
      </w:rPr>
      <w:br/>
      <w:t>ISSN: </w:t>
    </w:r>
    <w:r w:rsidRPr="00FC54DD">
      <w:rPr>
        <w:rFonts w:ascii="Times New Roman" w:hAnsi="Times New Roman" w:cs="Times New Roman"/>
        <w:color w:val="646464"/>
        <w:sz w:val="16"/>
        <w:szCs w:val="16"/>
        <w:shd w:val="clear" w:color="auto" w:fill="FFFFFF"/>
      </w:rPr>
      <w:t>3121-6552</w:t>
    </w:r>
  </w:p>
  <w:p w14:paraId="13096A0F" w14:textId="77777777" w:rsidR="00E87840" w:rsidRDefault="00E87840" w:rsidP="00E8784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1493795139"/>
      <w:docPartObj>
        <w:docPartGallery w:val="Page Numbers (Bottom of Page)"/>
        <w:docPartUnique/>
      </w:docPartObj>
    </w:sdtPr>
    <w:sdtEndPr>
      <w:rPr>
        <w:noProof/>
      </w:rPr>
    </w:sdtEndPr>
    <w:sdtContent>
      <w:p w14:paraId="12BB5968" w14:textId="267C5C7E" w:rsidR="008775B6" w:rsidRPr="00785748" w:rsidRDefault="008775B6" w:rsidP="00785748">
        <w:pPr>
          <w:pStyle w:val="Footer"/>
          <w:jc w:val="center"/>
          <w:rPr>
            <w:sz w:val="22"/>
            <w:szCs w:val="22"/>
          </w:rPr>
        </w:pPr>
        <w:r w:rsidRPr="00785748">
          <w:rPr>
            <w:sz w:val="22"/>
            <w:szCs w:val="22"/>
          </w:rPr>
          <w:fldChar w:fldCharType="begin"/>
        </w:r>
        <w:r w:rsidRPr="00785748">
          <w:rPr>
            <w:sz w:val="22"/>
            <w:szCs w:val="22"/>
          </w:rPr>
          <w:instrText xml:space="preserve"> PAGE   \* MERGEFORMAT </w:instrText>
        </w:r>
        <w:r w:rsidRPr="00785748">
          <w:rPr>
            <w:sz w:val="22"/>
            <w:szCs w:val="22"/>
          </w:rPr>
          <w:fldChar w:fldCharType="separate"/>
        </w:r>
        <w:r w:rsidRPr="00785748">
          <w:rPr>
            <w:noProof/>
            <w:sz w:val="22"/>
            <w:szCs w:val="22"/>
          </w:rPr>
          <w:t>2</w:t>
        </w:r>
        <w:r w:rsidRPr="00785748">
          <w:rPr>
            <w:noProof/>
            <w:sz w:val="22"/>
            <w:szCs w:val="22"/>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72CE0" w14:textId="77777777" w:rsidR="00914373" w:rsidRPr="005B77DE" w:rsidRDefault="00914373" w:rsidP="005B77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AE9E61" w14:textId="77777777" w:rsidR="0069442B" w:rsidRDefault="0069442B" w:rsidP="004E2922">
      <w:pPr>
        <w:spacing w:after="0" w:line="240" w:lineRule="auto"/>
      </w:pPr>
      <w:r>
        <w:separator/>
      </w:r>
    </w:p>
  </w:footnote>
  <w:footnote w:type="continuationSeparator" w:id="0">
    <w:p w14:paraId="07434A1A" w14:textId="77777777" w:rsidR="0069442B" w:rsidRDefault="0069442B" w:rsidP="004E29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2403B" w14:textId="4040C7A2" w:rsidR="003946C9" w:rsidRPr="00763767" w:rsidRDefault="003946C9" w:rsidP="003946C9">
    <w:pPr>
      <w:pBdr>
        <w:top w:val="nil"/>
        <w:left w:val="nil"/>
        <w:bottom w:val="nil"/>
        <w:right w:val="nil"/>
        <w:between w:val="nil"/>
      </w:pBdr>
      <w:tabs>
        <w:tab w:val="center" w:pos="4320"/>
        <w:tab w:val="right" w:pos="8640"/>
      </w:tabs>
      <w:jc w:val="center"/>
      <w:rPr>
        <w:color w:val="000000"/>
        <w:sz w:val="16"/>
        <w:szCs w:val="16"/>
      </w:rPr>
    </w:pPr>
    <w:r>
      <w:rPr>
        <w:rFonts w:ascii="Times New Roman" w:eastAsia="Times New Roman" w:hAnsi="Times New Roman" w:cs="Times New Roman"/>
        <w:bCs/>
        <w:iCs/>
        <w:color w:val="000000"/>
        <w:sz w:val="16"/>
        <w:szCs w:val="16"/>
        <w:lang w:val="en-GB"/>
      </w:rPr>
      <w:t xml:space="preserve">Aliyu </w:t>
    </w:r>
    <w:r w:rsidRPr="00763767">
      <w:rPr>
        <w:rFonts w:ascii="Times New Roman" w:eastAsia="Times New Roman" w:hAnsi="Times New Roman" w:cs="Times New Roman"/>
        <w:color w:val="000000"/>
        <w:sz w:val="16"/>
        <w:szCs w:val="16"/>
      </w:rPr>
      <w:t xml:space="preserve">et al. /MJSTEM Vol </w:t>
    </w:r>
    <w:r>
      <w:rPr>
        <w:rFonts w:ascii="Times New Roman" w:eastAsia="Times New Roman" w:hAnsi="Times New Roman" w:cs="Times New Roman"/>
        <w:color w:val="000000"/>
        <w:sz w:val="16"/>
        <w:szCs w:val="16"/>
      </w:rPr>
      <w:t>2</w:t>
    </w:r>
    <w:r w:rsidRPr="00763767">
      <w:rPr>
        <w:rFonts w:ascii="Times New Roman" w:eastAsia="Times New Roman" w:hAnsi="Times New Roman" w:cs="Times New Roman"/>
        <w:color w:val="000000"/>
        <w:sz w:val="16"/>
        <w:szCs w:val="16"/>
      </w:rPr>
      <w:t xml:space="preserve"> (</w:t>
    </w:r>
    <w:r>
      <w:rPr>
        <w:rFonts w:ascii="Times New Roman" w:eastAsia="Times New Roman" w:hAnsi="Times New Roman" w:cs="Times New Roman"/>
        <w:color w:val="000000"/>
        <w:sz w:val="16"/>
        <w:szCs w:val="16"/>
      </w:rPr>
      <w:t>2026</w:t>
    </w:r>
    <w:r w:rsidRPr="00763767">
      <w:rPr>
        <w:rFonts w:ascii="Times New Roman" w:eastAsia="Times New Roman" w:hAnsi="Times New Roman" w:cs="Times New Roman"/>
        <w:color w:val="000000"/>
        <w:sz w:val="16"/>
        <w:szCs w:val="16"/>
      </w:rPr>
      <w:t xml:space="preserve">) pp. </w:t>
    </w:r>
    <w:r>
      <w:rPr>
        <w:rFonts w:ascii="Times New Roman" w:eastAsia="Times New Roman" w:hAnsi="Times New Roman" w:cs="Times New Roman"/>
        <w:color w:val="000000"/>
        <w:sz w:val="16"/>
        <w:szCs w:val="16"/>
      </w:rPr>
      <w:t>103 -</w:t>
    </w:r>
    <w:r w:rsidR="00371C2F">
      <w:rPr>
        <w:rFonts w:ascii="Times New Roman" w:eastAsia="Times New Roman" w:hAnsi="Times New Roman" w:cs="Times New Roman"/>
        <w:color w:val="000000"/>
        <w:sz w:val="16"/>
        <w:szCs w:val="16"/>
      </w:rPr>
      <w:t>129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CACD9" w14:textId="6F1F8973" w:rsidR="00E87840" w:rsidRDefault="003946C9" w:rsidP="003946C9">
    <w:pPr>
      <w:pStyle w:val="Header"/>
      <w:jc w:val="center"/>
    </w:pPr>
    <w:r w:rsidRPr="00890B8B">
      <w:rPr>
        <w:sz w:val="16"/>
        <w:szCs w:val="16"/>
      </w:rPr>
      <w:t>https://doi.org/</w:t>
    </w:r>
    <w:r w:rsidR="005B77DE" w:rsidRPr="005B77DE">
      <w:rPr>
        <w:sz w:val="16"/>
        <w:szCs w:val="16"/>
      </w:rPr>
      <w:t>10.5281/zenodo.21103500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6AA12" w14:textId="6C734A48" w:rsidR="00E87840" w:rsidRPr="00EA37F7" w:rsidRDefault="00E87840" w:rsidP="00E87840">
    <w:pPr>
      <w:pStyle w:val="Header"/>
      <w:jc w:val="center"/>
      <w:rPr>
        <w:sz w:val="20"/>
        <w:szCs w:val="20"/>
      </w:rPr>
    </w:pPr>
    <w:r w:rsidRPr="00EA37F7">
      <w:rPr>
        <w:sz w:val="20"/>
        <w:szCs w:val="20"/>
      </w:rPr>
      <w:t xml:space="preserve">Multidisciplinary Journal of Science Technology Education and Management </w:t>
    </w:r>
    <w:r>
      <w:rPr>
        <w:sz w:val="20"/>
        <w:szCs w:val="20"/>
      </w:rPr>
      <w:t>2</w:t>
    </w:r>
    <w:r w:rsidRPr="00EA37F7">
      <w:rPr>
        <w:sz w:val="20"/>
        <w:szCs w:val="20"/>
      </w:rPr>
      <w:t xml:space="preserve"> (202</w:t>
    </w:r>
    <w:r>
      <w:rPr>
        <w:sz w:val="20"/>
        <w:szCs w:val="20"/>
      </w:rPr>
      <w:t>6</w:t>
    </w:r>
    <w:r w:rsidRPr="00EA37F7">
      <w:rPr>
        <w:sz w:val="20"/>
        <w:szCs w:val="20"/>
      </w:rPr>
      <w:t xml:space="preserve">) </w:t>
    </w:r>
    <w:r>
      <w:rPr>
        <w:sz w:val="20"/>
        <w:szCs w:val="20"/>
      </w:rPr>
      <w:t>040</w:t>
    </w:r>
  </w:p>
  <w:p w14:paraId="041987DC" w14:textId="77777777" w:rsidR="00E87840" w:rsidRDefault="00E878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98D8A" w14:textId="4EE80A42" w:rsidR="00371C2F" w:rsidRPr="00371C2F" w:rsidRDefault="00CF1176" w:rsidP="00371C2F">
    <w:pPr>
      <w:pBdr>
        <w:top w:val="nil"/>
        <w:left w:val="nil"/>
        <w:bottom w:val="nil"/>
        <w:right w:val="nil"/>
        <w:between w:val="nil"/>
      </w:pBdr>
      <w:tabs>
        <w:tab w:val="center" w:pos="4320"/>
        <w:tab w:val="right" w:pos="8640"/>
      </w:tabs>
      <w:rPr>
        <w:rFonts w:ascii="Times New Roman" w:eastAsia="Times New Roman" w:hAnsi="Times New Roman" w:cs="Times New Roman"/>
        <w:color w:val="000000"/>
        <w:sz w:val="16"/>
        <w:szCs w:val="16"/>
      </w:rPr>
    </w:pPr>
    <w:r w:rsidRPr="00763767">
      <w:rPr>
        <w:color w:val="000000"/>
        <w:sz w:val="16"/>
        <w:szCs w:val="16"/>
      </w:rPr>
      <w:fldChar w:fldCharType="begin"/>
    </w:r>
    <w:r w:rsidRPr="00763767">
      <w:rPr>
        <w:rFonts w:ascii="Times New Roman" w:eastAsia="Times New Roman" w:hAnsi="Times New Roman" w:cs="Times New Roman"/>
        <w:color w:val="000000"/>
        <w:sz w:val="16"/>
        <w:szCs w:val="16"/>
      </w:rPr>
      <w:instrText>PAGE</w:instrText>
    </w:r>
    <w:r w:rsidRPr="00763767">
      <w:rPr>
        <w:color w:val="000000"/>
        <w:sz w:val="16"/>
        <w:szCs w:val="16"/>
      </w:rPr>
      <w:fldChar w:fldCharType="separate"/>
    </w:r>
    <w:r w:rsidRPr="00763767">
      <w:rPr>
        <w:color w:val="000000"/>
        <w:sz w:val="16"/>
        <w:szCs w:val="16"/>
      </w:rPr>
      <w:t>4</w:t>
    </w:r>
    <w:r w:rsidRPr="00763767">
      <w:rPr>
        <w:color w:val="000000"/>
        <w:sz w:val="16"/>
        <w:szCs w:val="16"/>
      </w:rPr>
      <w:fldChar w:fldCharType="end"/>
    </w:r>
    <w:r w:rsidRPr="00763767">
      <w:rPr>
        <w:rFonts w:ascii="Times New Roman" w:eastAsia="Times New Roman" w:hAnsi="Times New Roman" w:cs="Times New Roman"/>
        <w:color w:val="000000"/>
        <w:sz w:val="16"/>
        <w:szCs w:val="16"/>
      </w:rPr>
      <w:tab/>
      <w:t xml:space="preserve"> </w:t>
    </w:r>
    <w:r w:rsidR="00371C2F" w:rsidRPr="00371C2F">
      <w:rPr>
        <w:rFonts w:ascii="Times New Roman" w:eastAsia="Times New Roman" w:hAnsi="Times New Roman" w:cs="Times New Roman"/>
        <w:bCs/>
        <w:iCs/>
        <w:color w:val="000000"/>
        <w:sz w:val="16"/>
        <w:szCs w:val="16"/>
        <w:lang w:val="en-GB"/>
      </w:rPr>
      <w:t xml:space="preserve">Aliyu </w:t>
    </w:r>
    <w:r w:rsidR="00371C2F" w:rsidRPr="00371C2F">
      <w:rPr>
        <w:rFonts w:ascii="Times New Roman" w:eastAsia="Times New Roman" w:hAnsi="Times New Roman" w:cs="Times New Roman"/>
        <w:color w:val="000000"/>
        <w:sz w:val="16"/>
        <w:szCs w:val="16"/>
      </w:rPr>
      <w:t>et al. /MJSTEM Vol 2 (2026) pp. 103 -129</w:t>
    </w:r>
  </w:p>
  <w:p w14:paraId="17DEA836" w14:textId="391BF31A" w:rsidR="00BF588A" w:rsidRPr="00763767" w:rsidRDefault="00BF588A" w:rsidP="00CF1176">
    <w:pPr>
      <w:pStyle w:val="Header"/>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C0C6B" w14:textId="77777777" w:rsidR="005B77DE" w:rsidRDefault="005B77DE" w:rsidP="005B77DE">
    <w:pPr>
      <w:pStyle w:val="Header"/>
      <w:jc w:val="center"/>
    </w:pPr>
    <w:r w:rsidRPr="00890B8B">
      <w:rPr>
        <w:sz w:val="16"/>
        <w:szCs w:val="16"/>
      </w:rPr>
      <w:t>https://doi.org/</w:t>
    </w:r>
    <w:r w:rsidRPr="005B77DE">
      <w:rPr>
        <w:sz w:val="16"/>
        <w:szCs w:val="16"/>
      </w:rPr>
      <w:t>10.5281/zenodo.21103500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C7EDF" w14:textId="77777777" w:rsidR="005B77DE" w:rsidRDefault="005B77DE" w:rsidP="005B77DE">
    <w:pPr>
      <w:pStyle w:val="Header"/>
      <w:jc w:val="center"/>
    </w:pPr>
    <w:r w:rsidRPr="00890B8B">
      <w:rPr>
        <w:sz w:val="16"/>
        <w:szCs w:val="16"/>
      </w:rPr>
      <w:t>https://doi.org/</w:t>
    </w:r>
    <w:r w:rsidRPr="005B77DE">
      <w:rPr>
        <w:sz w:val="16"/>
        <w:szCs w:val="16"/>
      </w:rPr>
      <w:t>10.5281/zenodo.21103500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0437C1"/>
    <w:multiLevelType w:val="multilevel"/>
    <w:tmpl w:val="47EEC1E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4910DD"/>
    <w:multiLevelType w:val="hybridMultilevel"/>
    <w:tmpl w:val="0EFC32FC"/>
    <w:lvl w:ilvl="0" w:tplc="616E18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9176FA"/>
    <w:multiLevelType w:val="multilevel"/>
    <w:tmpl w:val="5394CB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CC3E45"/>
    <w:multiLevelType w:val="multilevel"/>
    <w:tmpl w:val="3F308602"/>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7F0103B"/>
    <w:multiLevelType w:val="multilevel"/>
    <w:tmpl w:val="B5900C98"/>
    <w:lvl w:ilvl="0">
      <w:start w:val="1"/>
      <w:numFmt w:val="decimal"/>
      <w:lvlText w:val="%1."/>
      <w:lvlJc w:val="left"/>
      <w:pPr>
        <w:ind w:left="1311" w:hanging="460"/>
      </w:pPr>
      <w:rPr>
        <w:rFonts w:hint="default"/>
      </w:rPr>
    </w:lvl>
    <w:lvl w:ilvl="1">
      <w:start w:val="1"/>
      <w:numFmt w:val="decimal"/>
      <w:lvlText w:val="%1.%2."/>
      <w:lvlJc w:val="left"/>
      <w:pPr>
        <w:ind w:left="1571"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8"/>
        <w:szCs w:val="28"/>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571"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2291" w:hanging="1440"/>
      </w:pPr>
      <w:rPr>
        <w:rFonts w:hint="default"/>
      </w:rPr>
    </w:lvl>
    <w:lvl w:ilvl="5">
      <w:start w:val="1"/>
      <w:numFmt w:val="decimal"/>
      <w:lvlText w:val="%1.%2.%3.%4.%5.%6."/>
      <w:lvlJc w:val="left"/>
      <w:pPr>
        <w:ind w:left="2291" w:hanging="1440"/>
      </w:pPr>
      <w:rPr>
        <w:rFonts w:hint="default"/>
      </w:rPr>
    </w:lvl>
    <w:lvl w:ilvl="6">
      <w:start w:val="1"/>
      <w:numFmt w:val="decimal"/>
      <w:lvlText w:val="%1.%2.%3.%4.%5.%6.%7."/>
      <w:lvlJc w:val="left"/>
      <w:pPr>
        <w:ind w:left="2651" w:hanging="1800"/>
      </w:pPr>
      <w:rPr>
        <w:rFonts w:hint="default"/>
      </w:rPr>
    </w:lvl>
    <w:lvl w:ilvl="7">
      <w:start w:val="1"/>
      <w:numFmt w:val="decimal"/>
      <w:lvlText w:val="%1.%2.%3.%4.%5.%6.%7.%8."/>
      <w:lvlJc w:val="left"/>
      <w:pPr>
        <w:ind w:left="2651" w:hanging="1800"/>
      </w:pPr>
      <w:rPr>
        <w:rFonts w:hint="default"/>
      </w:rPr>
    </w:lvl>
    <w:lvl w:ilvl="8">
      <w:start w:val="1"/>
      <w:numFmt w:val="decimal"/>
      <w:lvlText w:val="%1.%2.%3.%4.%5.%6.%7.%8.%9."/>
      <w:lvlJc w:val="left"/>
      <w:pPr>
        <w:ind w:left="3011" w:hanging="2160"/>
      </w:pPr>
      <w:rPr>
        <w:rFonts w:hint="default"/>
      </w:rPr>
    </w:lvl>
  </w:abstractNum>
  <w:abstractNum w:abstractNumId="5" w15:restartNumberingAfterBreak="0">
    <w:nsid w:val="1CA224F3"/>
    <w:multiLevelType w:val="multilevel"/>
    <w:tmpl w:val="4F8044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E550D5"/>
    <w:multiLevelType w:val="multilevel"/>
    <w:tmpl w:val="6CBA92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192FCF"/>
    <w:multiLevelType w:val="multilevel"/>
    <w:tmpl w:val="05280AC6"/>
    <w:lvl w:ilvl="0">
      <w:start w:val="1"/>
      <w:numFmt w:val="decimal"/>
      <w:pStyle w:val="Heading2"/>
      <w:lvlText w:val="%1."/>
      <w:lvlJc w:val="left"/>
      <w:pPr>
        <w:ind w:left="810" w:hanging="360"/>
      </w:pPr>
      <w:rPr>
        <w:b/>
        <w:bCs/>
      </w:rPr>
    </w:lvl>
    <w:lvl w:ilvl="1">
      <w:start w:val="1"/>
      <w:numFmt w:val="decimal"/>
      <w:pStyle w:val="Heading3"/>
      <w:lvlText w:val="%1.%2."/>
      <w:lvlJc w:val="left"/>
      <w:pPr>
        <w:ind w:left="792" w:hanging="432"/>
      </w:pPr>
      <w:rPr>
        <w:b/>
        <w:bCs/>
      </w:rPr>
    </w:lvl>
    <w:lvl w:ilvl="2">
      <w:start w:val="1"/>
      <w:numFmt w:val="decimal"/>
      <w:pStyle w:val="Heading4"/>
      <w:lvlText w:val="%1.%2.%3."/>
      <w:lvlJc w:val="left"/>
      <w:pPr>
        <w:ind w:left="1224" w:hanging="504"/>
      </w:pPr>
    </w:lvl>
    <w:lvl w:ilvl="3">
      <w:start w:val="1"/>
      <w:numFmt w:val="decimal"/>
      <w:pStyle w:val="Heading5"/>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D6B131F"/>
    <w:multiLevelType w:val="multilevel"/>
    <w:tmpl w:val="93849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7AE478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5614CF5"/>
    <w:multiLevelType w:val="multilevel"/>
    <w:tmpl w:val="42DECAB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52D5A01"/>
    <w:multiLevelType w:val="multilevel"/>
    <w:tmpl w:val="383CC5B2"/>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A0235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350503E"/>
    <w:multiLevelType w:val="hybridMultilevel"/>
    <w:tmpl w:val="42A8B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41236F"/>
    <w:multiLevelType w:val="hybridMultilevel"/>
    <w:tmpl w:val="33023D2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C1C3BDB"/>
    <w:multiLevelType w:val="hybridMultilevel"/>
    <w:tmpl w:val="6532C4EE"/>
    <w:lvl w:ilvl="0" w:tplc="8FF8A06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D76794E"/>
    <w:multiLevelType w:val="hybridMultilevel"/>
    <w:tmpl w:val="E2D0FA0A"/>
    <w:lvl w:ilvl="0" w:tplc="12747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92369627">
    <w:abstractNumId w:val="1"/>
  </w:num>
  <w:num w:numId="2" w16cid:durableId="696661045">
    <w:abstractNumId w:val="4"/>
  </w:num>
  <w:num w:numId="3" w16cid:durableId="25835266">
    <w:abstractNumId w:val="15"/>
  </w:num>
  <w:num w:numId="4" w16cid:durableId="1195534280">
    <w:abstractNumId w:val="16"/>
  </w:num>
  <w:num w:numId="5" w16cid:durableId="1496605103">
    <w:abstractNumId w:val="3"/>
  </w:num>
  <w:num w:numId="6" w16cid:durableId="395860896">
    <w:abstractNumId w:val="13"/>
  </w:num>
  <w:num w:numId="7" w16cid:durableId="1753814774">
    <w:abstractNumId w:val="14"/>
  </w:num>
  <w:num w:numId="8" w16cid:durableId="391973367">
    <w:abstractNumId w:val="11"/>
  </w:num>
  <w:num w:numId="9" w16cid:durableId="327902194">
    <w:abstractNumId w:val="9"/>
  </w:num>
  <w:num w:numId="10" w16cid:durableId="121465671">
    <w:abstractNumId w:val="12"/>
  </w:num>
  <w:num w:numId="11" w16cid:durableId="610019719">
    <w:abstractNumId w:val="7"/>
  </w:num>
  <w:num w:numId="12" w16cid:durableId="1639022277">
    <w:abstractNumId w:val="8"/>
  </w:num>
  <w:num w:numId="13" w16cid:durableId="309091551">
    <w:abstractNumId w:val="6"/>
    <w:lvlOverride w:ilvl="0">
      <w:lvl w:ilvl="0">
        <w:numFmt w:val="decimal"/>
        <w:lvlText w:val="%1."/>
        <w:lvlJc w:val="left"/>
      </w:lvl>
    </w:lvlOverride>
  </w:num>
  <w:num w:numId="14" w16cid:durableId="668141064">
    <w:abstractNumId w:val="5"/>
    <w:lvlOverride w:ilvl="0">
      <w:lvl w:ilvl="0">
        <w:numFmt w:val="decimal"/>
        <w:lvlText w:val="%1."/>
        <w:lvlJc w:val="left"/>
      </w:lvl>
    </w:lvlOverride>
  </w:num>
  <w:num w:numId="15" w16cid:durableId="1019308568">
    <w:abstractNumId w:val="2"/>
    <w:lvlOverride w:ilvl="0">
      <w:lvl w:ilvl="0">
        <w:numFmt w:val="decimal"/>
        <w:lvlText w:val="%1."/>
        <w:lvlJc w:val="left"/>
      </w:lvl>
    </w:lvlOverride>
  </w:num>
  <w:num w:numId="16" w16cid:durableId="1007631417">
    <w:abstractNumId w:val="10"/>
    <w:lvlOverride w:ilvl="0">
      <w:lvl w:ilvl="0">
        <w:numFmt w:val="decimal"/>
        <w:lvlText w:val="%1."/>
        <w:lvlJc w:val="left"/>
      </w:lvl>
    </w:lvlOverride>
  </w:num>
  <w:num w:numId="17" w16cid:durableId="1984889675">
    <w:abstractNumId w:val="0"/>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LcwMTU3NTUwNjI1szRW0lEKTi0uzszPAykwqgUAV0ct1CwAAAA="/>
  </w:docVars>
  <w:rsids>
    <w:rsidRoot w:val="00B24839"/>
    <w:rsid w:val="00007659"/>
    <w:rsid w:val="00022838"/>
    <w:rsid w:val="00035308"/>
    <w:rsid w:val="000500D2"/>
    <w:rsid w:val="00052C61"/>
    <w:rsid w:val="00053561"/>
    <w:rsid w:val="00061D76"/>
    <w:rsid w:val="00063113"/>
    <w:rsid w:val="00067A23"/>
    <w:rsid w:val="000743E8"/>
    <w:rsid w:val="0008714C"/>
    <w:rsid w:val="000929E5"/>
    <w:rsid w:val="00096D33"/>
    <w:rsid w:val="000C6450"/>
    <w:rsid w:val="000D3D3D"/>
    <w:rsid w:val="000D67A8"/>
    <w:rsid w:val="000E46FE"/>
    <w:rsid w:val="000E723F"/>
    <w:rsid w:val="000F3C5D"/>
    <w:rsid w:val="000F6A7C"/>
    <w:rsid w:val="00100493"/>
    <w:rsid w:val="00106AED"/>
    <w:rsid w:val="00107628"/>
    <w:rsid w:val="001200F4"/>
    <w:rsid w:val="00120C78"/>
    <w:rsid w:val="00122721"/>
    <w:rsid w:val="0012468D"/>
    <w:rsid w:val="00130816"/>
    <w:rsid w:val="00142070"/>
    <w:rsid w:val="00142647"/>
    <w:rsid w:val="00144A69"/>
    <w:rsid w:val="00171642"/>
    <w:rsid w:val="00181CE5"/>
    <w:rsid w:val="00182735"/>
    <w:rsid w:val="00190C85"/>
    <w:rsid w:val="00193933"/>
    <w:rsid w:val="001A354A"/>
    <w:rsid w:val="001B2713"/>
    <w:rsid w:val="001B57A7"/>
    <w:rsid w:val="001D5A33"/>
    <w:rsid w:val="001E1D4A"/>
    <w:rsid w:val="001E4FFE"/>
    <w:rsid w:val="001E5751"/>
    <w:rsid w:val="00222D05"/>
    <w:rsid w:val="0023049C"/>
    <w:rsid w:val="00230F8E"/>
    <w:rsid w:val="00236338"/>
    <w:rsid w:val="002421EF"/>
    <w:rsid w:val="00247445"/>
    <w:rsid w:val="00247449"/>
    <w:rsid w:val="00255E2D"/>
    <w:rsid w:val="002802B6"/>
    <w:rsid w:val="0028580E"/>
    <w:rsid w:val="00294D6B"/>
    <w:rsid w:val="002B1BC6"/>
    <w:rsid w:val="002B2248"/>
    <w:rsid w:val="002B7B68"/>
    <w:rsid w:val="002C06D7"/>
    <w:rsid w:val="002C37EA"/>
    <w:rsid w:val="002C7ED3"/>
    <w:rsid w:val="002D0DFF"/>
    <w:rsid w:val="002F737A"/>
    <w:rsid w:val="00306F1E"/>
    <w:rsid w:val="00314350"/>
    <w:rsid w:val="003166FE"/>
    <w:rsid w:val="00326942"/>
    <w:rsid w:val="00331233"/>
    <w:rsid w:val="00331E72"/>
    <w:rsid w:val="00332DAB"/>
    <w:rsid w:val="003338DE"/>
    <w:rsid w:val="00334ACC"/>
    <w:rsid w:val="003455C1"/>
    <w:rsid w:val="003521B3"/>
    <w:rsid w:val="00354B2A"/>
    <w:rsid w:val="0036417D"/>
    <w:rsid w:val="00371C2F"/>
    <w:rsid w:val="00371C37"/>
    <w:rsid w:val="00383BFD"/>
    <w:rsid w:val="0038480A"/>
    <w:rsid w:val="00393566"/>
    <w:rsid w:val="00393980"/>
    <w:rsid w:val="003946C9"/>
    <w:rsid w:val="003A2AC7"/>
    <w:rsid w:val="003A66A3"/>
    <w:rsid w:val="003B60B4"/>
    <w:rsid w:val="003D6DD1"/>
    <w:rsid w:val="003E1BA2"/>
    <w:rsid w:val="003E39C0"/>
    <w:rsid w:val="003E5EF9"/>
    <w:rsid w:val="003F0438"/>
    <w:rsid w:val="00415FBD"/>
    <w:rsid w:val="004203B0"/>
    <w:rsid w:val="00430749"/>
    <w:rsid w:val="0044620C"/>
    <w:rsid w:val="00452057"/>
    <w:rsid w:val="00452A9C"/>
    <w:rsid w:val="00471603"/>
    <w:rsid w:val="0047608F"/>
    <w:rsid w:val="00490D54"/>
    <w:rsid w:val="004938FE"/>
    <w:rsid w:val="004A4A4B"/>
    <w:rsid w:val="004A5987"/>
    <w:rsid w:val="004B1152"/>
    <w:rsid w:val="004B1D4C"/>
    <w:rsid w:val="004B4A5E"/>
    <w:rsid w:val="004C0775"/>
    <w:rsid w:val="004C6258"/>
    <w:rsid w:val="004D11FD"/>
    <w:rsid w:val="004D275B"/>
    <w:rsid w:val="004E2922"/>
    <w:rsid w:val="004F01A4"/>
    <w:rsid w:val="004F08AC"/>
    <w:rsid w:val="004F3C4D"/>
    <w:rsid w:val="004F72CF"/>
    <w:rsid w:val="005131C3"/>
    <w:rsid w:val="00515E90"/>
    <w:rsid w:val="0051799A"/>
    <w:rsid w:val="00520D7D"/>
    <w:rsid w:val="00524106"/>
    <w:rsid w:val="00530D01"/>
    <w:rsid w:val="00535204"/>
    <w:rsid w:val="00541F07"/>
    <w:rsid w:val="00546548"/>
    <w:rsid w:val="0055000F"/>
    <w:rsid w:val="0055729B"/>
    <w:rsid w:val="005633B2"/>
    <w:rsid w:val="005708D8"/>
    <w:rsid w:val="005727A2"/>
    <w:rsid w:val="00572A6C"/>
    <w:rsid w:val="005821A7"/>
    <w:rsid w:val="00586722"/>
    <w:rsid w:val="0059398F"/>
    <w:rsid w:val="005A0588"/>
    <w:rsid w:val="005A0AE5"/>
    <w:rsid w:val="005A159A"/>
    <w:rsid w:val="005A1C9D"/>
    <w:rsid w:val="005A48A8"/>
    <w:rsid w:val="005B04FA"/>
    <w:rsid w:val="005B0DE2"/>
    <w:rsid w:val="005B77DE"/>
    <w:rsid w:val="005C236A"/>
    <w:rsid w:val="005C621C"/>
    <w:rsid w:val="005C7724"/>
    <w:rsid w:val="005D1D40"/>
    <w:rsid w:val="005D47A9"/>
    <w:rsid w:val="005D6C34"/>
    <w:rsid w:val="005E0845"/>
    <w:rsid w:val="005F1180"/>
    <w:rsid w:val="00601ACA"/>
    <w:rsid w:val="00615B79"/>
    <w:rsid w:val="00622468"/>
    <w:rsid w:val="0062266A"/>
    <w:rsid w:val="0062410A"/>
    <w:rsid w:val="00624DA5"/>
    <w:rsid w:val="00625E17"/>
    <w:rsid w:val="00636E63"/>
    <w:rsid w:val="00650F55"/>
    <w:rsid w:val="00661697"/>
    <w:rsid w:val="006723BD"/>
    <w:rsid w:val="0069442B"/>
    <w:rsid w:val="006B025D"/>
    <w:rsid w:val="006B76D7"/>
    <w:rsid w:val="006C06DB"/>
    <w:rsid w:val="006D4488"/>
    <w:rsid w:val="006D59AF"/>
    <w:rsid w:val="006E1801"/>
    <w:rsid w:val="006F1928"/>
    <w:rsid w:val="00700680"/>
    <w:rsid w:val="00706151"/>
    <w:rsid w:val="0071539C"/>
    <w:rsid w:val="00721682"/>
    <w:rsid w:val="00742D9C"/>
    <w:rsid w:val="007430F0"/>
    <w:rsid w:val="0075336C"/>
    <w:rsid w:val="00761228"/>
    <w:rsid w:val="0076249C"/>
    <w:rsid w:val="007633F3"/>
    <w:rsid w:val="00763767"/>
    <w:rsid w:val="0077219D"/>
    <w:rsid w:val="00775D8E"/>
    <w:rsid w:val="007779A3"/>
    <w:rsid w:val="00785748"/>
    <w:rsid w:val="0078618E"/>
    <w:rsid w:val="00790473"/>
    <w:rsid w:val="00790E90"/>
    <w:rsid w:val="00790F2D"/>
    <w:rsid w:val="00795DD9"/>
    <w:rsid w:val="007B0804"/>
    <w:rsid w:val="007B3ACD"/>
    <w:rsid w:val="007C09A1"/>
    <w:rsid w:val="007C6965"/>
    <w:rsid w:val="007D1024"/>
    <w:rsid w:val="007D13D2"/>
    <w:rsid w:val="007D4B95"/>
    <w:rsid w:val="007D4F88"/>
    <w:rsid w:val="007F6232"/>
    <w:rsid w:val="007F625C"/>
    <w:rsid w:val="008031E8"/>
    <w:rsid w:val="00815D68"/>
    <w:rsid w:val="00822D0B"/>
    <w:rsid w:val="00831D44"/>
    <w:rsid w:val="008328A6"/>
    <w:rsid w:val="00840BB4"/>
    <w:rsid w:val="00841CEE"/>
    <w:rsid w:val="0084414D"/>
    <w:rsid w:val="00844198"/>
    <w:rsid w:val="00844AB7"/>
    <w:rsid w:val="00855F90"/>
    <w:rsid w:val="00875861"/>
    <w:rsid w:val="008770B7"/>
    <w:rsid w:val="008775B6"/>
    <w:rsid w:val="0088736E"/>
    <w:rsid w:val="00892462"/>
    <w:rsid w:val="008A375F"/>
    <w:rsid w:val="008B09B8"/>
    <w:rsid w:val="008B131F"/>
    <w:rsid w:val="008C1D6E"/>
    <w:rsid w:val="008C26ED"/>
    <w:rsid w:val="008D418C"/>
    <w:rsid w:val="008D7F54"/>
    <w:rsid w:val="008E300F"/>
    <w:rsid w:val="008E5757"/>
    <w:rsid w:val="008F4AC3"/>
    <w:rsid w:val="008F4B5B"/>
    <w:rsid w:val="00910F79"/>
    <w:rsid w:val="00914373"/>
    <w:rsid w:val="00923F09"/>
    <w:rsid w:val="00925336"/>
    <w:rsid w:val="0093116E"/>
    <w:rsid w:val="00934B57"/>
    <w:rsid w:val="00936314"/>
    <w:rsid w:val="00947093"/>
    <w:rsid w:val="00950DFA"/>
    <w:rsid w:val="009550B5"/>
    <w:rsid w:val="0096402E"/>
    <w:rsid w:val="00967D72"/>
    <w:rsid w:val="00975AB4"/>
    <w:rsid w:val="00976ED8"/>
    <w:rsid w:val="00980B67"/>
    <w:rsid w:val="009902A3"/>
    <w:rsid w:val="009A1CFD"/>
    <w:rsid w:val="009A5C92"/>
    <w:rsid w:val="009B431E"/>
    <w:rsid w:val="009B57F6"/>
    <w:rsid w:val="009C515B"/>
    <w:rsid w:val="009D66B0"/>
    <w:rsid w:val="009F3F67"/>
    <w:rsid w:val="009F6610"/>
    <w:rsid w:val="00A016B2"/>
    <w:rsid w:val="00A37F6D"/>
    <w:rsid w:val="00A40C84"/>
    <w:rsid w:val="00A40DE6"/>
    <w:rsid w:val="00A52AB9"/>
    <w:rsid w:val="00A54591"/>
    <w:rsid w:val="00A61999"/>
    <w:rsid w:val="00A625E0"/>
    <w:rsid w:val="00A637DD"/>
    <w:rsid w:val="00A67A59"/>
    <w:rsid w:val="00A71428"/>
    <w:rsid w:val="00A729EE"/>
    <w:rsid w:val="00A85B6B"/>
    <w:rsid w:val="00A965B3"/>
    <w:rsid w:val="00AA2FF4"/>
    <w:rsid w:val="00AB2A70"/>
    <w:rsid w:val="00AC53CA"/>
    <w:rsid w:val="00AC5C91"/>
    <w:rsid w:val="00AD5E9D"/>
    <w:rsid w:val="00AE527C"/>
    <w:rsid w:val="00AF14F3"/>
    <w:rsid w:val="00B03DCE"/>
    <w:rsid w:val="00B23D58"/>
    <w:rsid w:val="00B24839"/>
    <w:rsid w:val="00B32BB6"/>
    <w:rsid w:val="00B36357"/>
    <w:rsid w:val="00B556F2"/>
    <w:rsid w:val="00B57E31"/>
    <w:rsid w:val="00B67F87"/>
    <w:rsid w:val="00B8238C"/>
    <w:rsid w:val="00B82E23"/>
    <w:rsid w:val="00B93151"/>
    <w:rsid w:val="00BA418E"/>
    <w:rsid w:val="00BA443C"/>
    <w:rsid w:val="00BA4F62"/>
    <w:rsid w:val="00BA54EA"/>
    <w:rsid w:val="00BB2FDE"/>
    <w:rsid w:val="00BB3F08"/>
    <w:rsid w:val="00BB4090"/>
    <w:rsid w:val="00BD122B"/>
    <w:rsid w:val="00BD1A2F"/>
    <w:rsid w:val="00BD5C98"/>
    <w:rsid w:val="00BD7E39"/>
    <w:rsid w:val="00BE151A"/>
    <w:rsid w:val="00BE5A8D"/>
    <w:rsid w:val="00BF0112"/>
    <w:rsid w:val="00BF2B0E"/>
    <w:rsid w:val="00BF4425"/>
    <w:rsid w:val="00BF56A5"/>
    <w:rsid w:val="00BF588A"/>
    <w:rsid w:val="00C14576"/>
    <w:rsid w:val="00C202AA"/>
    <w:rsid w:val="00C401EA"/>
    <w:rsid w:val="00C507A9"/>
    <w:rsid w:val="00C53357"/>
    <w:rsid w:val="00C534FE"/>
    <w:rsid w:val="00C56D7B"/>
    <w:rsid w:val="00C73DB6"/>
    <w:rsid w:val="00C74603"/>
    <w:rsid w:val="00C76D5C"/>
    <w:rsid w:val="00C77DA5"/>
    <w:rsid w:val="00C83EF9"/>
    <w:rsid w:val="00C85A1A"/>
    <w:rsid w:val="00C87DE1"/>
    <w:rsid w:val="00CA48BA"/>
    <w:rsid w:val="00CC0888"/>
    <w:rsid w:val="00CC32AF"/>
    <w:rsid w:val="00CF1176"/>
    <w:rsid w:val="00D029ED"/>
    <w:rsid w:val="00D050EA"/>
    <w:rsid w:val="00D136D9"/>
    <w:rsid w:val="00D13EE2"/>
    <w:rsid w:val="00D16919"/>
    <w:rsid w:val="00D31EA6"/>
    <w:rsid w:val="00D54BC6"/>
    <w:rsid w:val="00D6590C"/>
    <w:rsid w:val="00D92BD6"/>
    <w:rsid w:val="00D93AE0"/>
    <w:rsid w:val="00D962FB"/>
    <w:rsid w:val="00DA7DB8"/>
    <w:rsid w:val="00DB5FBF"/>
    <w:rsid w:val="00DC1CDB"/>
    <w:rsid w:val="00DC432F"/>
    <w:rsid w:val="00DC50C7"/>
    <w:rsid w:val="00DD066F"/>
    <w:rsid w:val="00DD44FF"/>
    <w:rsid w:val="00DF1FFB"/>
    <w:rsid w:val="00DF22E8"/>
    <w:rsid w:val="00DF4487"/>
    <w:rsid w:val="00DF76A8"/>
    <w:rsid w:val="00DF7DB5"/>
    <w:rsid w:val="00E1021E"/>
    <w:rsid w:val="00E10304"/>
    <w:rsid w:val="00E1478E"/>
    <w:rsid w:val="00E170CD"/>
    <w:rsid w:val="00E20963"/>
    <w:rsid w:val="00E23DD5"/>
    <w:rsid w:val="00E40F10"/>
    <w:rsid w:val="00E42333"/>
    <w:rsid w:val="00E448A1"/>
    <w:rsid w:val="00E45C94"/>
    <w:rsid w:val="00E5008D"/>
    <w:rsid w:val="00E530F2"/>
    <w:rsid w:val="00E61BF4"/>
    <w:rsid w:val="00E7553E"/>
    <w:rsid w:val="00E83BBA"/>
    <w:rsid w:val="00E86783"/>
    <w:rsid w:val="00E87840"/>
    <w:rsid w:val="00E90E49"/>
    <w:rsid w:val="00E93D8D"/>
    <w:rsid w:val="00EA0EF7"/>
    <w:rsid w:val="00EA7C32"/>
    <w:rsid w:val="00EB3C11"/>
    <w:rsid w:val="00EB6AB4"/>
    <w:rsid w:val="00EE3D79"/>
    <w:rsid w:val="00EE587B"/>
    <w:rsid w:val="00EE6491"/>
    <w:rsid w:val="00EF4AB3"/>
    <w:rsid w:val="00F1468E"/>
    <w:rsid w:val="00F20699"/>
    <w:rsid w:val="00F22F79"/>
    <w:rsid w:val="00F249DC"/>
    <w:rsid w:val="00F4362E"/>
    <w:rsid w:val="00F51B40"/>
    <w:rsid w:val="00F51F42"/>
    <w:rsid w:val="00F65D52"/>
    <w:rsid w:val="00F75D6A"/>
    <w:rsid w:val="00FB0922"/>
    <w:rsid w:val="00FB24B3"/>
    <w:rsid w:val="00FC54DD"/>
    <w:rsid w:val="00FD342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BFB0FD"/>
  <w14:defaultImageDpi w14:val="32767"/>
  <w15:chartTrackingRefBased/>
  <w15:docId w15:val="{CEFDDA76-D74E-411B-992B-BC3AA0E26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F07"/>
    <w:pPr>
      <w:spacing w:after="200" w:line="276" w:lineRule="auto"/>
      <w:jc w:val="both"/>
    </w:pPr>
    <w:rPr>
      <w:rFonts w:asciiTheme="majorBidi" w:hAnsiTheme="majorBidi" w:cstheme="majorBidi"/>
      <w:sz w:val="24"/>
      <w:szCs w:val="24"/>
    </w:rPr>
  </w:style>
  <w:style w:type="paragraph" w:styleId="Heading1">
    <w:name w:val="heading 1"/>
    <w:basedOn w:val="Normal"/>
    <w:next w:val="Normal"/>
    <w:link w:val="Heading1Char"/>
    <w:uiPriority w:val="9"/>
    <w:qFormat/>
    <w:rsid w:val="001D5A33"/>
    <w:pPr>
      <w:jc w:val="center"/>
      <w:outlineLvl w:val="0"/>
    </w:pPr>
    <w:rPr>
      <w:b/>
      <w:bCs/>
      <w:sz w:val="34"/>
      <w:szCs w:val="34"/>
    </w:rPr>
  </w:style>
  <w:style w:type="paragraph" w:styleId="Heading2">
    <w:name w:val="heading 2"/>
    <w:basedOn w:val="ListParagraph"/>
    <w:next w:val="Normal"/>
    <w:link w:val="Heading2Char"/>
    <w:uiPriority w:val="9"/>
    <w:unhideWhenUsed/>
    <w:qFormat/>
    <w:rsid w:val="000D3D3D"/>
    <w:pPr>
      <w:numPr>
        <w:numId w:val="11"/>
      </w:numPr>
      <w:ind w:left="992" w:hanging="992"/>
      <w:outlineLvl w:val="1"/>
    </w:pPr>
    <w:rPr>
      <w:b/>
      <w:bCs/>
      <w:sz w:val="30"/>
      <w:szCs w:val="30"/>
    </w:rPr>
  </w:style>
  <w:style w:type="paragraph" w:styleId="Heading3">
    <w:name w:val="heading 3"/>
    <w:basedOn w:val="ListParagraph"/>
    <w:next w:val="Normal"/>
    <w:link w:val="Heading3Char"/>
    <w:uiPriority w:val="9"/>
    <w:unhideWhenUsed/>
    <w:qFormat/>
    <w:rsid w:val="000D3D3D"/>
    <w:pPr>
      <w:numPr>
        <w:ilvl w:val="1"/>
        <w:numId w:val="11"/>
      </w:numPr>
      <w:ind w:left="993" w:hanging="993"/>
      <w:outlineLvl w:val="2"/>
    </w:pPr>
    <w:rPr>
      <w:b/>
      <w:bCs/>
      <w:sz w:val="28"/>
      <w:szCs w:val="28"/>
    </w:rPr>
  </w:style>
  <w:style w:type="paragraph" w:styleId="Heading4">
    <w:name w:val="heading 4"/>
    <w:basedOn w:val="ListParagraph"/>
    <w:next w:val="Normal"/>
    <w:link w:val="Heading4Char"/>
    <w:uiPriority w:val="9"/>
    <w:unhideWhenUsed/>
    <w:qFormat/>
    <w:rsid w:val="000D3D3D"/>
    <w:pPr>
      <w:numPr>
        <w:ilvl w:val="2"/>
        <w:numId w:val="11"/>
      </w:numPr>
      <w:ind w:left="993" w:hanging="993"/>
      <w:outlineLvl w:val="3"/>
    </w:pPr>
    <w:rPr>
      <w:b/>
      <w:bCs/>
      <w:sz w:val="26"/>
      <w:szCs w:val="26"/>
    </w:rPr>
  </w:style>
  <w:style w:type="paragraph" w:styleId="Heading5">
    <w:name w:val="heading 5"/>
    <w:basedOn w:val="ListParagraph"/>
    <w:next w:val="Normal"/>
    <w:link w:val="Heading5Char"/>
    <w:uiPriority w:val="9"/>
    <w:unhideWhenUsed/>
    <w:qFormat/>
    <w:rsid w:val="000D3D3D"/>
    <w:pPr>
      <w:numPr>
        <w:ilvl w:val="3"/>
        <w:numId w:val="11"/>
      </w:numPr>
      <w:ind w:left="993" w:hanging="993"/>
      <w:outlineLvl w:val="4"/>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5A33"/>
    <w:rPr>
      <w:rFonts w:asciiTheme="majorBidi" w:hAnsiTheme="majorBidi" w:cstheme="majorBidi"/>
      <w:b/>
      <w:bCs/>
      <w:sz w:val="34"/>
      <w:szCs w:val="34"/>
    </w:rPr>
  </w:style>
  <w:style w:type="character" w:styleId="Hyperlink">
    <w:name w:val="Hyperlink"/>
    <w:basedOn w:val="DefaultParagraphFont"/>
    <w:uiPriority w:val="99"/>
    <w:unhideWhenUsed/>
    <w:rsid w:val="007633F3"/>
    <w:rPr>
      <w:color w:val="0563C1" w:themeColor="hyperlink"/>
      <w:u w:val="single"/>
    </w:rPr>
  </w:style>
  <w:style w:type="character" w:styleId="UnresolvedMention">
    <w:name w:val="Unresolved Mention"/>
    <w:basedOn w:val="DefaultParagraphFont"/>
    <w:uiPriority w:val="99"/>
    <w:semiHidden/>
    <w:unhideWhenUsed/>
    <w:rsid w:val="007633F3"/>
    <w:rPr>
      <w:color w:val="605E5C"/>
      <w:shd w:val="clear" w:color="auto" w:fill="E1DFDD"/>
    </w:rPr>
  </w:style>
  <w:style w:type="character" w:styleId="LineNumber">
    <w:name w:val="line number"/>
    <w:basedOn w:val="DefaultParagraphFont"/>
    <w:uiPriority w:val="99"/>
    <w:semiHidden/>
    <w:unhideWhenUsed/>
    <w:rsid w:val="00967D72"/>
  </w:style>
  <w:style w:type="paragraph" w:styleId="ListParagraph">
    <w:name w:val="List Paragraph"/>
    <w:basedOn w:val="Normal"/>
    <w:uiPriority w:val="34"/>
    <w:qFormat/>
    <w:rsid w:val="00193933"/>
    <w:pPr>
      <w:ind w:left="720"/>
      <w:contextualSpacing/>
    </w:pPr>
  </w:style>
  <w:style w:type="character" w:customStyle="1" w:styleId="Heading2Char">
    <w:name w:val="Heading 2 Char"/>
    <w:basedOn w:val="DefaultParagraphFont"/>
    <w:link w:val="Heading2"/>
    <w:uiPriority w:val="9"/>
    <w:rsid w:val="000D3D3D"/>
    <w:rPr>
      <w:rFonts w:asciiTheme="majorBidi" w:hAnsiTheme="majorBidi" w:cstheme="majorBidi"/>
      <w:b/>
      <w:bCs/>
      <w:sz w:val="30"/>
      <w:szCs w:val="30"/>
    </w:rPr>
  </w:style>
  <w:style w:type="character" w:customStyle="1" w:styleId="Heading3Char">
    <w:name w:val="Heading 3 Char"/>
    <w:basedOn w:val="DefaultParagraphFont"/>
    <w:link w:val="Heading3"/>
    <w:uiPriority w:val="9"/>
    <w:rsid w:val="000D3D3D"/>
    <w:rPr>
      <w:rFonts w:asciiTheme="majorBidi" w:hAnsiTheme="majorBidi" w:cstheme="majorBidi"/>
      <w:b/>
      <w:bCs/>
      <w:sz w:val="28"/>
      <w:szCs w:val="28"/>
    </w:rPr>
  </w:style>
  <w:style w:type="character" w:customStyle="1" w:styleId="Heading4Char">
    <w:name w:val="Heading 4 Char"/>
    <w:basedOn w:val="DefaultParagraphFont"/>
    <w:link w:val="Heading4"/>
    <w:uiPriority w:val="9"/>
    <w:rsid w:val="000D3D3D"/>
    <w:rPr>
      <w:rFonts w:asciiTheme="majorBidi" w:hAnsiTheme="majorBidi" w:cstheme="majorBidi"/>
      <w:b/>
      <w:bCs/>
      <w:sz w:val="26"/>
      <w:szCs w:val="26"/>
    </w:rPr>
  </w:style>
  <w:style w:type="character" w:customStyle="1" w:styleId="Heading5Char">
    <w:name w:val="Heading 5 Char"/>
    <w:basedOn w:val="DefaultParagraphFont"/>
    <w:link w:val="Heading5"/>
    <w:uiPriority w:val="9"/>
    <w:rsid w:val="000D3D3D"/>
    <w:rPr>
      <w:rFonts w:asciiTheme="majorBidi" w:hAnsiTheme="majorBidi" w:cstheme="majorBidi"/>
      <w:b/>
      <w:bCs/>
      <w:sz w:val="24"/>
      <w:szCs w:val="24"/>
    </w:rPr>
  </w:style>
  <w:style w:type="table" w:styleId="TableGrid">
    <w:name w:val="Table Grid"/>
    <w:basedOn w:val="TableNormal"/>
    <w:uiPriority w:val="39"/>
    <w:rsid w:val="00DB5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947093"/>
    <w:pPr>
      <w:tabs>
        <w:tab w:val="left" w:pos="384"/>
      </w:tabs>
      <w:spacing w:after="0" w:line="240" w:lineRule="auto"/>
      <w:ind w:left="384" w:hanging="384"/>
    </w:pPr>
  </w:style>
  <w:style w:type="character" w:styleId="PlaceholderText">
    <w:name w:val="Placeholder Text"/>
    <w:basedOn w:val="DefaultParagraphFont"/>
    <w:uiPriority w:val="99"/>
    <w:semiHidden/>
    <w:rsid w:val="00BE5A8D"/>
    <w:rPr>
      <w:color w:val="808080"/>
    </w:rPr>
  </w:style>
  <w:style w:type="paragraph" w:styleId="Header">
    <w:name w:val="header"/>
    <w:basedOn w:val="Normal"/>
    <w:link w:val="HeaderChar"/>
    <w:uiPriority w:val="99"/>
    <w:unhideWhenUsed/>
    <w:rsid w:val="004E29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2922"/>
    <w:rPr>
      <w:rFonts w:asciiTheme="majorBidi" w:hAnsiTheme="majorBidi" w:cstheme="majorBidi"/>
      <w:sz w:val="24"/>
      <w:szCs w:val="24"/>
    </w:rPr>
  </w:style>
  <w:style w:type="paragraph" w:styleId="Footer">
    <w:name w:val="footer"/>
    <w:basedOn w:val="Normal"/>
    <w:link w:val="FooterChar"/>
    <w:uiPriority w:val="99"/>
    <w:unhideWhenUsed/>
    <w:rsid w:val="004E29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2922"/>
    <w:rPr>
      <w:rFonts w:asciiTheme="majorBidi" w:hAnsiTheme="majorBidi" w:cstheme="majorBidi"/>
      <w:sz w:val="24"/>
      <w:szCs w:val="24"/>
    </w:rPr>
  </w:style>
  <w:style w:type="paragraph" w:styleId="FootnoteText">
    <w:name w:val="footnote text"/>
    <w:basedOn w:val="Normal"/>
    <w:link w:val="FootnoteTextChar"/>
    <w:uiPriority w:val="99"/>
    <w:semiHidden/>
    <w:unhideWhenUsed/>
    <w:rsid w:val="0023049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3049C"/>
    <w:rPr>
      <w:rFonts w:asciiTheme="majorBidi" w:hAnsiTheme="majorBidi" w:cstheme="majorBidi"/>
      <w:sz w:val="20"/>
      <w:szCs w:val="20"/>
    </w:rPr>
  </w:style>
  <w:style w:type="character" w:styleId="FootnoteReference">
    <w:name w:val="footnote reference"/>
    <w:basedOn w:val="DefaultParagraphFont"/>
    <w:uiPriority w:val="99"/>
    <w:semiHidden/>
    <w:unhideWhenUsed/>
    <w:rsid w:val="0023049C"/>
    <w:rPr>
      <w:vertAlign w:val="superscript"/>
    </w:rPr>
  </w:style>
  <w:style w:type="paragraph" w:styleId="NormalWeb">
    <w:name w:val="Normal (Web)"/>
    <w:basedOn w:val="Normal"/>
    <w:uiPriority w:val="99"/>
    <w:semiHidden/>
    <w:unhideWhenUsed/>
    <w:rsid w:val="002B1BC6"/>
    <w:pPr>
      <w:spacing w:before="100" w:beforeAutospacing="1" w:after="100" w:afterAutospacing="1" w:line="240" w:lineRule="auto"/>
      <w:jc w:val="left"/>
    </w:pPr>
    <w:rPr>
      <w:rFonts w:ascii="Times New Roman" w:eastAsia="Times New Roman" w:hAnsi="Times New Roman" w:cs="Times New Roman"/>
    </w:rPr>
  </w:style>
  <w:style w:type="paragraph" w:customStyle="1" w:styleId="Instruction">
    <w:name w:val="Instruction"/>
    <w:basedOn w:val="Normal"/>
    <w:link w:val="InstructionChar"/>
    <w:qFormat/>
    <w:rsid w:val="004F08AC"/>
    <w:rPr>
      <w:rFonts w:asciiTheme="minorBidi" w:hAnsiTheme="minorBidi" w:cstheme="minorBidi"/>
      <w:color w:val="0000FF"/>
      <w:sz w:val="20"/>
      <w:szCs w:val="20"/>
    </w:rPr>
  </w:style>
  <w:style w:type="character" w:customStyle="1" w:styleId="InstructionChar">
    <w:name w:val="Instruction Char"/>
    <w:basedOn w:val="DefaultParagraphFont"/>
    <w:link w:val="Instruction"/>
    <w:rsid w:val="004F08AC"/>
    <w:rPr>
      <w:rFonts w:asciiTheme="minorBidi" w:hAnsiTheme="minorBidi"/>
      <w:color w:val="0000FF"/>
      <w:sz w:val="20"/>
      <w:szCs w:val="20"/>
    </w:rPr>
  </w:style>
  <w:style w:type="character" w:styleId="Strong">
    <w:name w:val="Strong"/>
    <w:basedOn w:val="DefaultParagraphFont"/>
    <w:uiPriority w:val="22"/>
    <w:qFormat/>
    <w:rsid w:val="00B8238C"/>
    <w:rPr>
      <w:b/>
      <w:bCs/>
    </w:rPr>
  </w:style>
  <w:style w:type="character" w:styleId="Emphasis">
    <w:name w:val="Emphasis"/>
    <w:basedOn w:val="DefaultParagraphFont"/>
    <w:uiPriority w:val="20"/>
    <w:qFormat/>
    <w:rsid w:val="00B8238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91923">
      <w:bodyDiv w:val="1"/>
      <w:marLeft w:val="0"/>
      <w:marRight w:val="0"/>
      <w:marTop w:val="0"/>
      <w:marBottom w:val="0"/>
      <w:divBdr>
        <w:top w:val="none" w:sz="0" w:space="0" w:color="auto"/>
        <w:left w:val="none" w:sz="0" w:space="0" w:color="auto"/>
        <w:bottom w:val="none" w:sz="0" w:space="0" w:color="auto"/>
        <w:right w:val="none" w:sz="0" w:space="0" w:color="auto"/>
      </w:divBdr>
      <w:divsChild>
        <w:div w:id="448403578">
          <w:marLeft w:val="360"/>
          <w:marRight w:val="0"/>
          <w:marTop w:val="0"/>
          <w:marBottom w:val="0"/>
          <w:divBdr>
            <w:top w:val="none" w:sz="0" w:space="0" w:color="auto"/>
            <w:left w:val="none" w:sz="0" w:space="0" w:color="auto"/>
            <w:bottom w:val="none" w:sz="0" w:space="0" w:color="auto"/>
            <w:right w:val="none" w:sz="0" w:space="0" w:color="auto"/>
          </w:divBdr>
        </w:div>
      </w:divsChild>
    </w:div>
    <w:div w:id="367225749">
      <w:bodyDiv w:val="1"/>
      <w:marLeft w:val="0"/>
      <w:marRight w:val="0"/>
      <w:marTop w:val="0"/>
      <w:marBottom w:val="0"/>
      <w:divBdr>
        <w:top w:val="none" w:sz="0" w:space="0" w:color="auto"/>
        <w:left w:val="none" w:sz="0" w:space="0" w:color="auto"/>
        <w:bottom w:val="none" w:sz="0" w:space="0" w:color="auto"/>
        <w:right w:val="none" w:sz="0" w:space="0" w:color="auto"/>
      </w:divBdr>
      <w:divsChild>
        <w:div w:id="66270986">
          <w:marLeft w:val="360"/>
          <w:marRight w:val="0"/>
          <w:marTop w:val="0"/>
          <w:marBottom w:val="0"/>
          <w:divBdr>
            <w:top w:val="none" w:sz="0" w:space="0" w:color="auto"/>
            <w:left w:val="none" w:sz="0" w:space="0" w:color="auto"/>
            <w:bottom w:val="none" w:sz="0" w:space="0" w:color="auto"/>
            <w:right w:val="none" w:sz="0" w:space="0" w:color="auto"/>
          </w:divBdr>
        </w:div>
      </w:divsChild>
    </w:div>
    <w:div w:id="818808963">
      <w:bodyDiv w:val="1"/>
      <w:marLeft w:val="0"/>
      <w:marRight w:val="0"/>
      <w:marTop w:val="0"/>
      <w:marBottom w:val="0"/>
      <w:divBdr>
        <w:top w:val="none" w:sz="0" w:space="0" w:color="auto"/>
        <w:left w:val="none" w:sz="0" w:space="0" w:color="auto"/>
        <w:bottom w:val="none" w:sz="0" w:space="0" w:color="auto"/>
        <w:right w:val="none" w:sz="0" w:space="0" w:color="auto"/>
      </w:divBdr>
    </w:div>
    <w:div w:id="1495030571">
      <w:bodyDiv w:val="1"/>
      <w:marLeft w:val="0"/>
      <w:marRight w:val="0"/>
      <w:marTop w:val="0"/>
      <w:marBottom w:val="0"/>
      <w:divBdr>
        <w:top w:val="none" w:sz="0" w:space="0" w:color="auto"/>
        <w:left w:val="none" w:sz="0" w:space="0" w:color="auto"/>
        <w:bottom w:val="none" w:sz="0" w:space="0" w:color="auto"/>
        <w:right w:val="none" w:sz="0" w:space="0" w:color="auto"/>
      </w:divBdr>
    </w:div>
    <w:div w:id="1633050412">
      <w:bodyDiv w:val="1"/>
      <w:marLeft w:val="0"/>
      <w:marRight w:val="0"/>
      <w:marTop w:val="0"/>
      <w:marBottom w:val="0"/>
      <w:divBdr>
        <w:top w:val="none" w:sz="0" w:space="0" w:color="auto"/>
        <w:left w:val="none" w:sz="0" w:space="0" w:color="auto"/>
        <w:bottom w:val="none" w:sz="0" w:space="0" w:color="auto"/>
        <w:right w:val="none" w:sz="0" w:space="0" w:color="auto"/>
      </w:divBdr>
    </w:div>
    <w:div w:id="173149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footer" Target="footer1.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header" Target="header6.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29" Type="http://schemas.openxmlformats.org/officeDocument/2006/relationships/hyperlink" Target="https://www.researchsquare.com/article/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5.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eader" Target="header3.xml"/><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doi.org/DOI" TargetMode="External"/><Relationship Id="rId35" Type="http://schemas.openxmlformats.org/officeDocument/2006/relationships/footer" Target="footer4.xml"/><Relationship Id="rId8" Type="http://schemas.openxmlformats.org/officeDocument/2006/relationships/image" Target="media/image1.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DF9F0-BF25-4DB5-A838-C3E60887C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12374</Words>
  <Characters>70538</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Radboud University Nijmegen</Company>
  <LinksUpToDate>false</LinksUpToDate>
  <CharactersWithSpaces>82747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Niloy Sikder</dc:creator>
  <cp:keywords/>
  <dc:description/>
  <cp:lastModifiedBy>Aliyu Mustapha</cp:lastModifiedBy>
  <cp:revision>2</cp:revision>
  <cp:lastPrinted>2026-07-01T05:09:00Z</cp:lastPrinted>
  <dcterms:created xsi:type="dcterms:W3CDTF">2026-07-01T05:19:00Z</dcterms:created>
  <dcterms:modified xsi:type="dcterms:W3CDTF">2026-07-01T05:19:00Z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zotero-version="7.0.13"&gt;&lt;session id="edATKbv3"/&gt;&lt;style id="http://www.zotero.org/styles/multidisciplinary-digital-publishing-institute" hasBibliography="1" bibliographyStyleHasBeenSet="1"/&gt;&lt;prefs&gt;&lt;pref name="fieldType" value="Field"</vt:lpwstr>
  </property>
  <property fmtid="{D5CDD505-2E9C-101B-9397-08002B2CF9AE}" pid="3" name="ZOTERO_PREF_2">
    <vt:lpwstr>/&gt;&lt;pref name="automaticJournalAbbreviations" value="true"/&gt;&lt;/prefs&gt;&lt;/data&gt;</vt:lpwstr>
  </property>
  <property fmtid="{D5CDD505-2E9C-101B-9397-08002B2CF9AE}" pid="4" name="Mendeley Document_1">
    <vt:lpwstr>True</vt:lpwstr>
  </property>
  <property fmtid="{D5CDD505-2E9C-101B-9397-08002B2CF9AE}" pid="5" name="Mendeley Citation Style_1">
    <vt:lpwstr>http://www.zotero.org/styles/apa</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6th/7th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18th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12th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9th edition (in-text citations)</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Mendeley Unique User Id_1">
    <vt:lpwstr>94bfdaa5-8b60-3434-a97c-c6cd269d6151</vt:lpwstr>
  </property>
</Properties>
</file>